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Default="00000B59" w:rsidP="00DC69F1">
      <w:pPr>
        <w:pStyle w:val="BodyText"/>
        <w:framePr w:w="10800" w:h="2142" w:hRule="exact" w:hSpace="187" w:wrap="auto" w:vAnchor="page" w:hAnchor="page" w:x="714" w:y="1085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The Viability of Grid Energy Storage and </w:t>
      </w:r>
      <w:r w:rsidR="006963D1">
        <w:rPr>
          <w:b/>
          <w:i/>
          <w:caps/>
          <w:sz w:val="28"/>
          <w:szCs w:val="28"/>
        </w:rPr>
        <w:t xml:space="preserve">its dependence on </w:t>
      </w:r>
      <w:r>
        <w:rPr>
          <w:b/>
          <w:i/>
          <w:caps/>
          <w:sz w:val="28"/>
          <w:szCs w:val="28"/>
        </w:rPr>
        <w:t>natural gas</w:t>
      </w:r>
      <w:r w:rsidR="006963D1">
        <w:rPr>
          <w:b/>
          <w:i/>
          <w:caps/>
          <w:sz w:val="28"/>
          <w:szCs w:val="28"/>
        </w:rPr>
        <w:t xml:space="preserve"> Prices</w:t>
      </w:r>
    </w:p>
    <w:p w:rsidR="00A54143" w:rsidRDefault="00A54143" w:rsidP="00DC69F1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</w:p>
    <w:p w:rsidR="00DC69F1" w:rsidRDefault="00A54143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Eric Hittinger</w:t>
      </w:r>
      <w:r w:rsidR="00DC69F1">
        <w:rPr>
          <w:sz w:val="20"/>
        </w:rPr>
        <w:t xml:space="preserve">, </w:t>
      </w:r>
      <w:r>
        <w:rPr>
          <w:sz w:val="20"/>
        </w:rPr>
        <w:t>Rochester Institute of Technology</w:t>
      </w:r>
      <w:r w:rsidR="00DC69F1" w:rsidRPr="00D767DA">
        <w:rPr>
          <w:sz w:val="20"/>
        </w:rPr>
        <w:t xml:space="preserve">, </w:t>
      </w:r>
      <w:r w:rsidR="005F37EC">
        <w:rPr>
          <w:sz w:val="20"/>
        </w:rPr>
        <w:t>585-475-5312</w:t>
      </w:r>
      <w:r w:rsidR="00DC69F1" w:rsidRPr="00D767DA">
        <w:rPr>
          <w:sz w:val="20"/>
        </w:rPr>
        <w:t xml:space="preserve">, </w:t>
      </w:r>
      <w:r w:rsidR="00872D1C">
        <w:rPr>
          <w:sz w:val="20"/>
        </w:rPr>
        <w:t>eshgpt@rit.edu</w:t>
      </w:r>
    </w:p>
    <w:p w:rsidR="0047311F" w:rsidRPr="00D767DA" w:rsidRDefault="0047311F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Roger </w:t>
      </w:r>
      <w:proofErr w:type="spellStart"/>
      <w:r>
        <w:rPr>
          <w:sz w:val="20"/>
        </w:rPr>
        <w:t>Lueken</w:t>
      </w:r>
      <w:proofErr w:type="spellEnd"/>
      <w:r w:rsidRPr="00D767DA">
        <w:rPr>
          <w:sz w:val="20"/>
        </w:rPr>
        <w:t>,</w:t>
      </w:r>
      <w:r>
        <w:rPr>
          <w:sz w:val="20"/>
        </w:rPr>
        <w:t xml:space="preserve"> Carnegie Mellon University,</w:t>
      </w:r>
      <w:r w:rsidRPr="00D767DA">
        <w:rPr>
          <w:sz w:val="20"/>
        </w:rPr>
        <w:t xml:space="preserve"> </w:t>
      </w:r>
      <w:hyperlink r:id="rId7" w:tgtFrame="_blank" w:history="1">
        <w:r w:rsidR="00A36496" w:rsidRPr="00A36496">
          <w:rPr>
            <w:sz w:val="20"/>
          </w:rPr>
          <w:t>240-476-8547</w:t>
        </w:r>
      </w:hyperlink>
      <w:r w:rsidRPr="00D767DA">
        <w:rPr>
          <w:sz w:val="20"/>
        </w:rPr>
        <w:t xml:space="preserve">, </w:t>
      </w:r>
      <w:r w:rsidRPr="0047311F">
        <w:rPr>
          <w:sz w:val="20"/>
        </w:rPr>
        <w:t>rlueken@gmail.com</w:t>
      </w:r>
    </w:p>
    <w:p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9C462C" w:rsidRDefault="00A54143" w:rsidP="00682645">
      <w:pPr>
        <w:pStyle w:val="BodyText20"/>
        <w:spacing w:after="200"/>
        <w:ind w:firstLine="0"/>
        <w:jc w:val="left"/>
      </w:pPr>
      <w:r>
        <w:tab/>
      </w:r>
      <w:r w:rsidR="00C22F33">
        <w:t>E</w:t>
      </w:r>
      <w:r w:rsidR="00DF2D8D">
        <w:t>nergy storage</w:t>
      </w:r>
      <w:r w:rsidR="00C22F33">
        <w:t xml:space="preserve"> can produce value through a variety of electricity grid services</w:t>
      </w:r>
      <w:r w:rsidR="00A36496">
        <w:t>, such as peak shaving, energy arbitrage, frequency regulation, and spinning reserve</w:t>
      </w:r>
      <w:r w:rsidR="00E6578E">
        <w:t xml:space="preserve"> </w:t>
      </w:r>
      <w:sdt>
        <w:sdtPr>
          <w:id w:val="329412554"/>
          <w:citation/>
        </w:sdtPr>
        <w:sdtContent>
          <w:r w:rsidR="00E6578E">
            <w:fldChar w:fldCharType="begin"/>
          </w:r>
          <w:r w:rsidR="00E6578E">
            <w:rPr>
              <w:lang w:val="en-US"/>
            </w:rPr>
            <w:instrText xml:space="preserve"> CITATION Eye10 \l 1033 </w:instrText>
          </w:r>
          <w:r w:rsidR="00E6578E">
            <w:fldChar w:fldCharType="separate"/>
          </w:r>
          <w:r w:rsidR="00E6578E" w:rsidRPr="00E6578E">
            <w:rPr>
              <w:noProof/>
              <w:lang w:val="en-US"/>
            </w:rPr>
            <w:t>[1]</w:t>
          </w:r>
          <w:r w:rsidR="00E6578E">
            <w:fldChar w:fldCharType="end"/>
          </w:r>
        </w:sdtContent>
      </w:sdt>
      <w:sdt>
        <w:sdtPr>
          <w:id w:val="329412555"/>
          <w:citation/>
        </w:sdtPr>
        <w:sdtContent>
          <w:r w:rsidR="00E6578E">
            <w:fldChar w:fldCharType="begin"/>
          </w:r>
          <w:r w:rsidR="00E6578E">
            <w:rPr>
              <w:lang w:val="en-US"/>
            </w:rPr>
            <w:instrText xml:space="preserve"> CITATION Ele11 \l 1033 </w:instrText>
          </w:r>
          <w:r w:rsidR="00E6578E">
            <w:fldChar w:fldCharType="separate"/>
          </w:r>
          <w:r w:rsidR="00E6578E" w:rsidRPr="00E6578E">
            <w:rPr>
              <w:noProof/>
              <w:lang w:val="en-US"/>
            </w:rPr>
            <w:t>[2]</w:t>
          </w:r>
          <w:r w:rsidR="00E6578E">
            <w:fldChar w:fldCharType="end"/>
          </w:r>
        </w:sdtContent>
      </w:sdt>
      <w:sdt>
        <w:sdtPr>
          <w:id w:val="329412556"/>
          <w:citation/>
        </w:sdtPr>
        <w:sdtContent>
          <w:r w:rsidR="00E6578E">
            <w:fldChar w:fldCharType="begin"/>
          </w:r>
          <w:r w:rsidR="00E6578E">
            <w:rPr>
              <w:lang w:val="en-US"/>
            </w:rPr>
            <w:instrText xml:space="preserve"> CITATION Eye04 \l 1033 </w:instrText>
          </w:r>
          <w:r w:rsidR="00E6578E">
            <w:fldChar w:fldCharType="separate"/>
          </w:r>
          <w:r w:rsidR="00E6578E" w:rsidRPr="00E6578E">
            <w:rPr>
              <w:noProof/>
              <w:lang w:val="en-US"/>
            </w:rPr>
            <w:t>[3]</w:t>
          </w:r>
          <w:r w:rsidR="00E6578E">
            <w:fldChar w:fldCharType="end"/>
          </w:r>
        </w:sdtContent>
      </w:sdt>
      <w:r w:rsidR="00A36496">
        <w:t>.  Furthermore, e</w:t>
      </w:r>
      <w:r w:rsidR="00C22F33">
        <w:t xml:space="preserve">xisting trends on the electricity grid, </w:t>
      </w:r>
      <w:r w:rsidR="00197896">
        <w:t>including</w:t>
      </w:r>
      <w:r w:rsidR="00A36496">
        <w:t xml:space="preserve"> increased quantities of wind generation and</w:t>
      </w:r>
      <w:r w:rsidR="00C22F33">
        <w:t xml:space="preserve"> declining load factors, appear to be improvin</w:t>
      </w:r>
      <w:r w:rsidR="00A36496">
        <w:t>g the</w:t>
      </w:r>
      <w:r w:rsidR="00197896">
        <w:t xml:space="preserve"> economic</w:t>
      </w:r>
      <w:r w:rsidR="00A36496">
        <w:t xml:space="preserve"> case for storage.</w:t>
      </w:r>
      <w:r w:rsidR="009854E3">
        <w:t xml:space="preserve">  </w:t>
      </w:r>
      <w:r w:rsidR="009C462C">
        <w:t xml:space="preserve">Yet, despite falling capital costs of </w:t>
      </w:r>
      <w:r w:rsidR="00197896">
        <w:t xml:space="preserve">energy </w:t>
      </w:r>
      <w:r w:rsidR="009C462C">
        <w:t>storage and the trend of increasing need for the services that storage provides, actual deployment of storage has been slow and several high-profile storage companies have failed</w:t>
      </w:r>
      <w:r w:rsidR="00E6578E">
        <w:t xml:space="preserve"> </w:t>
      </w:r>
      <w:sdt>
        <w:sdtPr>
          <w:id w:val="329412557"/>
          <w:citation/>
        </w:sdtPr>
        <w:sdtContent>
          <w:r w:rsidR="00E6578E">
            <w:fldChar w:fldCharType="begin"/>
          </w:r>
          <w:r w:rsidR="00E6578E">
            <w:rPr>
              <w:lang w:val="en-US"/>
            </w:rPr>
            <w:instrText xml:space="preserve"> CITATION Vla12 \l 1033 </w:instrText>
          </w:r>
          <w:r w:rsidR="00E6578E">
            <w:fldChar w:fldCharType="separate"/>
          </w:r>
          <w:r w:rsidR="00E6578E" w:rsidRPr="00E6578E">
            <w:rPr>
              <w:noProof/>
              <w:lang w:val="en-US"/>
            </w:rPr>
            <w:t>[4]</w:t>
          </w:r>
          <w:r w:rsidR="00E6578E">
            <w:fldChar w:fldCharType="end"/>
          </w:r>
        </w:sdtContent>
      </w:sdt>
      <w:sdt>
        <w:sdtPr>
          <w:id w:val="329412558"/>
          <w:citation/>
        </w:sdtPr>
        <w:sdtContent>
          <w:r w:rsidR="00E6578E">
            <w:fldChar w:fldCharType="begin"/>
          </w:r>
          <w:r w:rsidR="00E6578E">
            <w:rPr>
              <w:lang w:val="en-US"/>
            </w:rPr>
            <w:instrText xml:space="preserve"> CITATION McC11 \l 1033 </w:instrText>
          </w:r>
          <w:r w:rsidR="00E6578E">
            <w:fldChar w:fldCharType="separate"/>
          </w:r>
          <w:r w:rsidR="00E6578E" w:rsidRPr="00E6578E">
            <w:rPr>
              <w:noProof/>
              <w:lang w:val="en-US"/>
            </w:rPr>
            <w:t>[5]</w:t>
          </w:r>
          <w:r w:rsidR="00E6578E">
            <w:fldChar w:fldCharType="end"/>
          </w:r>
        </w:sdtContent>
      </w:sdt>
      <w:r w:rsidR="009C462C">
        <w:t xml:space="preserve">.  </w:t>
      </w:r>
    </w:p>
    <w:p w:rsidR="005F37EC" w:rsidRDefault="00F301A7" w:rsidP="00682645">
      <w:pPr>
        <w:pStyle w:val="BodyText20"/>
        <w:spacing w:after="200"/>
        <w:ind w:firstLine="0"/>
        <w:jc w:val="left"/>
      </w:pPr>
      <w:r>
        <w:tab/>
      </w:r>
      <w:r w:rsidR="00197896">
        <w:t>We propose that the</w:t>
      </w:r>
      <w:r>
        <w:t xml:space="preserve"> </w:t>
      </w:r>
      <w:r w:rsidR="00197896">
        <w:t xml:space="preserve">economic </w:t>
      </w:r>
      <w:r>
        <w:t xml:space="preserve">difficulties that grid energy storage </w:t>
      </w:r>
      <w:r w:rsidR="00197896">
        <w:t>is experiencing are</w:t>
      </w:r>
      <w:r w:rsidR="009C462C">
        <w:t xml:space="preserve"> partly due to the fact that natural gas generation i</w:t>
      </w:r>
      <w:r>
        <w:t xml:space="preserve">s able to provide </w:t>
      </w:r>
      <w:r w:rsidR="009C462C">
        <w:t>most of the servic</w:t>
      </w:r>
      <w:r>
        <w:t>es that storage is targeting</w:t>
      </w:r>
      <w:r w:rsidR="00197896">
        <w:t>, and is thus a competitor to energy storage</w:t>
      </w:r>
      <w:r w:rsidR="009C462C">
        <w:t xml:space="preserve">.  Natural gas generation can ramp quickly, is a good complement to fluctuating </w:t>
      </w:r>
      <w:proofErr w:type="spellStart"/>
      <w:r w:rsidR="009C462C">
        <w:t>renewables</w:t>
      </w:r>
      <w:proofErr w:type="spellEnd"/>
      <w:r w:rsidR="009C462C">
        <w:t xml:space="preserve">, and is commonly used as a peaking generation source.  </w:t>
      </w:r>
      <w:r w:rsidR="004F6ED3">
        <w:t>For natural gas generators, both the variable and levelized costs of electricity are strongly dependent on the price of fuel, which is now (</w:t>
      </w:r>
      <w:r w:rsidR="00552081">
        <w:t xml:space="preserve">in </w:t>
      </w:r>
      <w:r>
        <w:t>2013) one</w:t>
      </w:r>
      <w:r w:rsidR="004F6ED3">
        <w:t xml:space="preserve"> third of the 2008 peak price</w:t>
      </w:r>
      <w:r>
        <w:rPr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329412559"/>
          <w:citation/>
        </w:sdtPr>
        <w:sdtContent>
          <w:r w:rsidR="00E6578E">
            <w:rPr>
              <w:noProof/>
              <w:lang w:val="en-US"/>
            </w:rPr>
            <w:fldChar w:fldCharType="begin"/>
          </w:r>
          <w:r w:rsidR="00E6578E">
            <w:rPr>
              <w:noProof/>
              <w:lang w:val="en-US"/>
            </w:rPr>
            <w:instrText xml:space="preserve"> CITATION USE14 \l 1033 </w:instrText>
          </w:r>
          <w:r w:rsidR="00E6578E">
            <w:rPr>
              <w:noProof/>
              <w:lang w:val="en-US"/>
            </w:rPr>
            <w:fldChar w:fldCharType="separate"/>
          </w:r>
          <w:r w:rsidR="00E6578E" w:rsidRPr="00E6578E">
            <w:rPr>
              <w:noProof/>
              <w:lang w:val="en-US"/>
            </w:rPr>
            <w:t>[6]</w:t>
          </w:r>
          <w:r w:rsidR="00E6578E">
            <w:rPr>
              <w:noProof/>
              <w:lang w:val="en-US"/>
            </w:rPr>
            <w:fldChar w:fldCharType="end"/>
          </w:r>
        </w:sdtContent>
      </w:sdt>
      <w:r w:rsidR="004F6ED3">
        <w:t xml:space="preserve">.  </w:t>
      </w:r>
      <w:r w:rsidR="00197896">
        <w:t xml:space="preserve">A </w:t>
      </w:r>
      <w:r w:rsidR="00552081">
        <w:t>significant decrease in natural gas price means that the capital cost of storage technologies</w:t>
      </w:r>
      <w:r w:rsidR="00197896">
        <w:t>, the main driver of their overall costs,</w:t>
      </w:r>
      <w:r w:rsidR="00552081">
        <w:t xml:space="preserve"> must decrease sig</w:t>
      </w:r>
      <w:r w:rsidR="00197896">
        <w:t>nificantly in order to compete.  Unfortunately, significant capital cost decreases are</w:t>
      </w:r>
      <w:r w:rsidR="00552081">
        <w:t xml:space="preserve"> difficult or impossible </w:t>
      </w:r>
      <w:r w:rsidR="00197896">
        <w:t xml:space="preserve">to achieve </w:t>
      </w:r>
      <w:r w:rsidR="00552081">
        <w:t xml:space="preserve">for many </w:t>
      </w:r>
      <w:r w:rsidR="00197896">
        <w:t xml:space="preserve">storage </w:t>
      </w:r>
      <w:r w:rsidR="00552081">
        <w:t>technologies.</w:t>
      </w:r>
      <w:r w:rsidR="00197896">
        <w:t xml:space="preserve">  This</w:t>
      </w:r>
      <w:r w:rsidR="00682645">
        <w:t xml:space="preserve"> relationship between natural gas prices and energy storage revenue has not been thoroughly investigated, despite the possibility that this dependence may be a critical determinant of energy storage market viability.</w:t>
      </w:r>
    </w:p>
    <w:p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A54143" w:rsidRDefault="0052505C" w:rsidP="00682645">
      <w:pPr>
        <w:pStyle w:val="BodyText2"/>
        <w:spacing w:after="200"/>
        <w:jc w:val="left"/>
        <w:rPr>
          <w:highlight w:val="yellow"/>
        </w:rPr>
      </w:pPr>
      <w:r>
        <w:tab/>
      </w:r>
      <w:r w:rsidR="00CB1718">
        <w:t xml:space="preserve"> </w:t>
      </w:r>
      <w:r w:rsidR="00A243D1">
        <w:t xml:space="preserve">This work uses a combination of analysis of actual market data and engineering-economic </w:t>
      </w:r>
      <w:proofErr w:type="spellStart"/>
      <w:r w:rsidR="00A243D1">
        <w:t>modeling</w:t>
      </w:r>
      <w:proofErr w:type="spellEnd"/>
      <w:r w:rsidR="00A243D1">
        <w:t xml:space="preserve"> to estimate the breakeven capital cost for a generic energy storage technology as the price of natural gas changes.  This analysis is performed for two grid services: peak shaving and spinning reserve.  For each of the two services, the cost of providing that grid service with natural gas is estimated using a time</w:t>
      </w:r>
      <w:r w:rsidR="00F301A7">
        <w:t>-series operational model of a</w:t>
      </w:r>
      <w:r w:rsidR="00A243D1">
        <w:t xml:space="preserve"> marginal natural gas generator on the </w:t>
      </w:r>
      <w:r w:rsidR="00682645">
        <w:t xml:space="preserve">electricity </w:t>
      </w:r>
      <w:r w:rsidR="00A243D1">
        <w:t xml:space="preserve">system.  A separate energy storage model then determines the capital cost of storage that results in </w:t>
      </w:r>
      <w:r w:rsidR="000E5316">
        <w:t>breakeven profitability for a sta</w:t>
      </w:r>
      <w:r w:rsidR="004C1304">
        <w:t>ndalone energy storage device</w:t>
      </w:r>
      <w:r w:rsidR="00197896">
        <w:t>, given the market prices produced in the first step</w:t>
      </w:r>
      <w:r w:rsidR="004C1304">
        <w:t xml:space="preserve">.  </w:t>
      </w:r>
      <w:r w:rsidR="00122BC1">
        <w:t>By varying the na</w:t>
      </w:r>
      <w:r w:rsidR="002C7C45">
        <w:t>tural gas price used in the natural gas generation model</w:t>
      </w:r>
      <w:r w:rsidR="00122BC1">
        <w:t xml:space="preserve">, we can observe </w:t>
      </w:r>
      <w:r w:rsidR="002C7C45">
        <w:t>the relationship between breakeven energy storage capital cost and natural gas price.</w:t>
      </w:r>
    </w:p>
    <w:p w:rsidR="00DC69F1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52505C" w:rsidRDefault="0052505C" w:rsidP="00DF2D8D">
      <w:r>
        <w:tab/>
      </w:r>
      <w:r w:rsidR="00632F6C">
        <w:t xml:space="preserve"> </w:t>
      </w:r>
      <w:r w:rsidR="000E5316">
        <w:t xml:space="preserve">Preliminary results suggest that the market viability of energy storage in the two examined applications is strongly dependent on natural gas price.  </w:t>
      </w:r>
      <w:r w:rsidR="004C1304">
        <w:t>Because natural gas price has been decreasing over the last 5 years, this also means that the breakeven capital cost for storage systems has been declining over this period.  These results illustrate a strong competitive relationship between natural gas generation and energy storage that is poorly understood in the existing literature because most estimates of t</w:t>
      </w:r>
      <w:r w:rsidR="002C7C45">
        <w:t xml:space="preserve">he value of storage use </w:t>
      </w:r>
      <w:r w:rsidR="00197896">
        <w:t>fixed</w:t>
      </w:r>
      <w:r w:rsidR="004C1304">
        <w:t xml:space="preserve"> market prices from per</w:t>
      </w:r>
      <w:r w:rsidR="002C7C45">
        <w:t>iods when natural gas prices were</w:t>
      </w:r>
      <w:r w:rsidR="004C1304">
        <w:t xml:space="preserve"> higher than at present.</w:t>
      </w:r>
    </w:p>
    <w:p w:rsidR="00503295" w:rsidRDefault="00503295" w:rsidP="00503295">
      <w:pPr>
        <w:rPr>
          <w:i/>
          <w:sz w:val="24"/>
          <w:szCs w:val="24"/>
        </w:rPr>
      </w:pPr>
    </w:p>
    <w:p w:rsidR="00643711" w:rsidRPr="00643711" w:rsidRDefault="00DC69F1" w:rsidP="0064371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DC69F1" w:rsidRDefault="00643711" w:rsidP="007363F1">
      <w:r>
        <w:tab/>
      </w:r>
      <w:r w:rsidR="004F6ED3">
        <w:t xml:space="preserve">Grid energy storage has rapidly moved from concept to commercialization over the past 5-10 years, yet has experienced continual difficulties with profitable deployments.  This difficulty can be attributed partially to competition with natural gas generation, which </w:t>
      </w:r>
      <w:r w:rsidR="00552081">
        <w:t xml:space="preserve">competes to provide many of the same services and </w:t>
      </w:r>
      <w:r w:rsidR="004F6ED3">
        <w:t>has experienced a trend of significantly decreasing prices over the same period.</w:t>
      </w:r>
      <w:r w:rsidR="00552081">
        <w:t xml:space="preserve">  Forecasts of future natural gas prices suggest that low prices may persist for decades,</w:t>
      </w:r>
      <w:r w:rsidR="00000B59">
        <w:t xml:space="preserve"> causing continued difficulty for the fledgling energy storage industry,</w:t>
      </w:r>
      <w:r w:rsidR="00552081">
        <w:t xml:space="preserve"> though even small increases in natural gas price </w:t>
      </w:r>
      <w:r w:rsidR="00A243D1">
        <w:t>would</w:t>
      </w:r>
      <w:r w:rsidR="00552081">
        <w:t xml:space="preserve"> </w:t>
      </w:r>
      <w:r w:rsidR="00A243D1">
        <w:t>improve the profitability of energy storage.</w:t>
      </w:r>
    </w:p>
    <w:p w:rsidR="00BC69A3" w:rsidRDefault="00BC69A3" w:rsidP="00DC69F1">
      <w:pPr>
        <w:pStyle w:val="BodyText2"/>
        <w:spacing w:after="200"/>
      </w:pPr>
    </w:p>
    <w:p w:rsidR="00000B59" w:rsidRDefault="00BC69A3" w:rsidP="002C7C45">
      <w:pPr>
        <w:pStyle w:val="Heading2"/>
        <w:jc w:val="both"/>
        <w:rPr>
          <w:noProof/>
        </w:rPr>
      </w:pPr>
      <w:r>
        <w:rPr>
          <w:i w:val="0"/>
          <w:sz w:val="24"/>
          <w:szCs w:val="24"/>
        </w:rPr>
        <w:lastRenderedPageBreak/>
        <w:t>References</w:t>
      </w:r>
    </w:p>
    <w:sdt>
      <w:sdtPr>
        <w:id w:val="329412560"/>
        <w:docPartObj>
          <w:docPartGallery w:val="Bibliographies"/>
          <w:docPartUnique/>
        </w:docPartObj>
      </w:sdtPr>
      <w:sdtEndPr>
        <w:rPr>
          <w:rFonts w:ascii="Times New Roman" w:hAnsi="Times New Roman"/>
          <w:b w:val="0"/>
          <w:sz w:val="20"/>
        </w:rPr>
      </w:sdtEndPr>
      <w:sdtContent>
        <w:p w:rsidR="00E6578E" w:rsidRDefault="00E6578E" w:rsidP="00E6578E">
          <w:pPr>
            <w:pStyle w:val="Heading1"/>
            <w:rPr>
              <w:rFonts w:ascii="Tms Rmn" w:hAnsi="Tms Rmn"/>
              <w:noProof/>
              <w:lang w:val="en-US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/>
          </w:tblPr>
          <w:tblGrid>
            <w:gridCol w:w="309"/>
            <w:gridCol w:w="9141"/>
          </w:tblGrid>
          <w:tr w:rsidR="00E6578E">
            <w:trPr>
              <w:divId w:val="1255361420"/>
              <w:tblCellSpacing w:w="15" w:type="dxa"/>
            </w:trPr>
            <w:tc>
              <w:tcPr>
                <w:tcW w:w="50" w:type="pct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J. Eyer and G. Corey, "Energy Storage for the Electricity Grid: Benefits and Market Potential Assessment Guide," 2010.</w:t>
                </w:r>
              </w:p>
            </w:tc>
          </w:tr>
          <w:tr w:rsidR="00E6578E">
            <w:trPr>
              <w:divId w:val="1255361420"/>
              <w:tblCellSpacing w:w="15" w:type="dxa"/>
            </w:trPr>
            <w:tc>
              <w:tcPr>
                <w:tcW w:w="50" w:type="pct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Electricity Storage Association, “Energy Storage Benefits,” 2011. [Online]. Available: http://www.electricitystorage.org/technology/energy_storage_benefits/benefit_categories. [Accessed January 2014].</w:t>
                </w:r>
              </w:p>
            </w:tc>
          </w:tr>
          <w:tr w:rsidR="00E6578E">
            <w:trPr>
              <w:divId w:val="1255361420"/>
              <w:tblCellSpacing w:w="15" w:type="dxa"/>
            </w:trPr>
            <w:tc>
              <w:tcPr>
                <w:tcW w:w="50" w:type="pct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J. Eyer, J. Iannucci and G. Corey, “Energy Storage Benefits and Market Analysis Handbook,” 2004.</w:t>
                </w:r>
              </w:p>
            </w:tc>
          </w:tr>
          <w:tr w:rsidR="00E6578E">
            <w:trPr>
              <w:divId w:val="1255361420"/>
              <w:tblCellSpacing w:w="15" w:type="dxa"/>
            </w:trPr>
            <w:tc>
              <w:tcPr>
                <w:tcW w:w="50" w:type="pct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[4] </w:t>
                </w:r>
              </w:p>
            </w:tc>
            <w:tc>
              <w:tcPr>
                <w:tcW w:w="0" w:type="auto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B. Vlasic and M. Wald, “Maker of Batteries Files for Bankruptcy,” 17 October 2012. [Online]. Available: http://www.nytimes.com/2012/10/17/business/battery-maker-a123-systems-files-for-bankruptcy.html?_r=0. [Accessed January 2014].</w:t>
                </w:r>
              </w:p>
            </w:tc>
          </w:tr>
          <w:tr w:rsidR="00E6578E">
            <w:trPr>
              <w:divId w:val="1255361420"/>
              <w:tblCellSpacing w:w="15" w:type="dxa"/>
            </w:trPr>
            <w:tc>
              <w:tcPr>
                <w:tcW w:w="50" w:type="pct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[5] </w:t>
                </w:r>
              </w:p>
            </w:tc>
            <w:tc>
              <w:tcPr>
                <w:tcW w:w="0" w:type="auto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D. McCarty, “Beacon Power, Backed by U.S. Loan Guarantees, Files Bankruptcy,” 31 October 2011. [Online]. Available: http://www.businessweek.com/news/2011-10-31/beacon-power-backed-by-u-s-loan-guarantees-files-bankruptcy.html. [Accessed January 2014].</w:t>
                </w:r>
              </w:p>
            </w:tc>
          </w:tr>
          <w:tr w:rsidR="00E6578E">
            <w:trPr>
              <w:divId w:val="1255361420"/>
              <w:tblCellSpacing w:w="15" w:type="dxa"/>
            </w:trPr>
            <w:tc>
              <w:tcPr>
                <w:tcW w:w="50" w:type="pct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 xml:space="preserve">[6] </w:t>
                </w:r>
              </w:p>
            </w:tc>
            <w:tc>
              <w:tcPr>
                <w:tcW w:w="0" w:type="auto"/>
                <w:hideMark/>
              </w:tcPr>
              <w:p w:rsidR="00E6578E" w:rsidRDefault="00E6578E">
                <w:pPr>
                  <w:pStyle w:val="Bibliography"/>
                  <w:rPr>
                    <w:rFonts w:eastAsiaTheme="minorEastAsia"/>
                    <w:noProof/>
                  </w:rPr>
                </w:pPr>
                <w:r>
                  <w:rPr>
                    <w:noProof/>
                  </w:rPr>
                  <w:t>US Energy Information Administration, “Natural Gas,” January 2014. [Online]. Available: http://www.eia.gov/dnav/ng/ng_pri_sum_dcu_nus_m.htm. [Accessed January 2014].</w:t>
                </w:r>
              </w:p>
            </w:tc>
          </w:tr>
        </w:tbl>
        <w:p w:rsidR="00E6578E" w:rsidRDefault="00E6578E">
          <w:pPr>
            <w:divId w:val="1255361420"/>
            <w:rPr>
              <w:noProof/>
            </w:rPr>
          </w:pPr>
        </w:p>
        <w:p w:rsidR="00E6578E" w:rsidRDefault="00E6578E" w:rsidP="00E6578E">
          <w:r>
            <w:fldChar w:fldCharType="end"/>
          </w:r>
        </w:p>
      </w:sdtContent>
    </w:sdt>
    <w:p w:rsidR="002C7C45" w:rsidRDefault="002C7C45" w:rsidP="00E6578E">
      <w:pPr>
        <w:pStyle w:val="Heading1"/>
      </w:pPr>
    </w:p>
    <w:p w:rsidR="00000B59" w:rsidRDefault="00000B59" w:rsidP="00000B59">
      <w:pPr>
        <w:spacing w:after="240"/>
        <w:ind w:left="720"/>
      </w:pPr>
    </w:p>
    <w:p w:rsidR="00D73633" w:rsidRDefault="00D73633" w:rsidP="00DC69F1">
      <w:pPr>
        <w:pStyle w:val="BodyText2"/>
        <w:spacing w:after="200"/>
      </w:pPr>
    </w:p>
    <w:sectPr w:rsidR="00D73633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50" w:rsidRDefault="00660850">
      <w:r>
        <w:separator/>
      </w:r>
    </w:p>
  </w:endnote>
  <w:endnote w:type="continuationSeparator" w:id="0">
    <w:p w:rsidR="00660850" w:rsidRDefault="0066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50" w:rsidRDefault="00660850">
      <w:r>
        <w:separator/>
      </w:r>
    </w:p>
  </w:footnote>
  <w:footnote w:type="continuationSeparator" w:id="0">
    <w:p w:rsidR="00660850" w:rsidRDefault="00660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74" w:rsidRDefault="00344774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EA8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3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D63ED5"/>
    <w:multiLevelType w:val="hybridMultilevel"/>
    <w:tmpl w:val="6B4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6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6204CC"/>
    <w:multiLevelType w:val="hybridMultilevel"/>
    <w:tmpl w:val="5B88F87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2257D8"/>
    <w:multiLevelType w:val="hybridMultilevel"/>
    <w:tmpl w:val="467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A7558"/>
    <w:multiLevelType w:val="hybridMultilevel"/>
    <w:tmpl w:val="EE1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81A2E"/>
    <w:multiLevelType w:val="hybridMultilevel"/>
    <w:tmpl w:val="60367C9A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2C5EE1"/>
    <w:multiLevelType w:val="hybridMultilevel"/>
    <w:tmpl w:val="323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A25F6"/>
    <w:multiLevelType w:val="hybridMultilevel"/>
    <w:tmpl w:val="E99808A0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07471"/>
    <w:multiLevelType w:val="hybridMultilevel"/>
    <w:tmpl w:val="D2E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84757"/>
    <w:multiLevelType w:val="hybridMultilevel"/>
    <w:tmpl w:val="2536F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EC7B76"/>
    <w:multiLevelType w:val="hybridMultilevel"/>
    <w:tmpl w:val="3C0E5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19490F"/>
    <w:multiLevelType w:val="hybridMultilevel"/>
    <w:tmpl w:val="1E782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E6F4106"/>
    <w:multiLevelType w:val="hybridMultilevel"/>
    <w:tmpl w:val="AA2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5A5B25FE"/>
    <w:multiLevelType w:val="hybridMultilevel"/>
    <w:tmpl w:val="65F2882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0E750A6"/>
    <w:multiLevelType w:val="hybridMultilevel"/>
    <w:tmpl w:val="F6BAC8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3A74126"/>
    <w:multiLevelType w:val="hybridMultilevel"/>
    <w:tmpl w:val="2CB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6B84080A"/>
    <w:multiLevelType w:val="hybridMultilevel"/>
    <w:tmpl w:val="543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B7FAC"/>
    <w:multiLevelType w:val="hybridMultilevel"/>
    <w:tmpl w:val="945E665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579615C"/>
    <w:multiLevelType w:val="hybridMultilevel"/>
    <w:tmpl w:val="B62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3"/>
  </w:num>
  <w:num w:numId="5">
    <w:abstractNumId w:val="1"/>
  </w:num>
  <w:num w:numId="6">
    <w:abstractNumId w:val="26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9"/>
  </w:num>
  <w:num w:numId="13">
    <w:abstractNumId w:val="13"/>
  </w:num>
  <w:num w:numId="14">
    <w:abstractNumId w:val="2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17"/>
  </w:num>
  <w:num w:numId="20">
    <w:abstractNumId w:val="12"/>
  </w:num>
  <w:num w:numId="21">
    <w:abstractNumId w:val="7"/>
  </w:num>
  <w:num w:numId="22">
    <w:abstractNumId w:val="19"/>
  </w:num>
  <w:num w:numId="23">
    <w:abstractNumId w:val="20"/>
  </w:num>
  <w:num w:numId="24">
    <w:abstractNumId w:val="24"/>
  </w:num>
  <w:num w:numId="25">
    <w:abstractNumId w:val="6"/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DE"/>
    <w:rsid w:val="00000B59"/>
    <w:rsid w:val="00007020"/>
    <w:rsid w:val="000468DE"/>
    <w:rsid w:val="00080F52"/>
    <w:rsid w:val="000D50A0"/>
    <w:rsid w:val="000E5316"/>
    <w:rsid w:val="000F2160"/>
    <w:rsid w:val="00122BC1"/>
    <w:rsid w:val="00152968"/>
    <w:rsid w:val="00197896"/>
    <w:rsid w:val="001E7F3D"/>
    <w:rsid w:val="002305E4"/>
    <w:rsid w:val="00236F1E"/>
    <w:rsid w:val="00261493"/>
    <w:rsid w:val="00292AE8"/>
    <w:rsid w:val="0029557F"/>
    <w:rsid w:val="002C7C45"/>
    <w:rsid w:val="0032473A"/>
    <w:rsid w:val="00344774"/>
    <w:rsid w:val="003507B3"/>
    <w:rsid w:val="00404859"/>
    <w:rsid w:val="0047311F"/>
    <w:rsid w:val="00480B96"/>
    <w:rsid w:val="00485025"/>
    <w:rsid w:val="004C048E"/>
    <w:rsid w:val="004C1304"/>
    <w:rsid w:val="004C6867"/>
    <w:rsid w:val="004F6ED3"/>
    <w:rsid w:val="00500E6A"/>
    <w:rsid w:val="00503295"/>
    <w:rsid w:val="0052505C"/>
    <w:rsid w:val="00552081"/>
    <w:rsid w:val="00571B94"/>
    <w:rsid w:val="00592560"/>
    <w:rsid w:val="005A5112"/>
    <w:rsid w:val="005F1516"/>
    <w:rsid w:val="005F37EC"/>
    <w:rsid w:val="006223FB"/>
    <w:rsid w:val="00632F6C"/>
    <w:rsid w:val="006409C5"/>
    <w:rsid w:val="00643711"/>
    <w:rsid w:val="00660850"/>
    <w:rsid w:val="00682645"/>
    <w:rsid w:val="006963D1"/>
    <w:rsid w:val="007363F1"/>
    <w:rsid w:val="007C2B4F"/>
    <w:rsid w:val="00806DF3"/>
    <w:rsid w:val="00813BB0"/>
    <w:rsid w:val="00872D1C"/>
    <w:rsid w:val="008A0019"/>
    <w:rsid w:val="008C1CE1"/>
    <w:rsid w:val="009854E3"/>
    <w:rsid w:val="009B581D"/>
    <w:rsid w:val="009C462C"/>
    <w:rsid w:val="009F3A9A"/>
    <w:rsid w:val="00A243D1"/>
    <w:rsid w:val="00A36496"/>
    <w:rsid w:val="00A5108C"/>
    <w:rsid w:val="00A54143"/>
    <w:rsid w:val="00A96D21"/>
    <w:rsid w:val="00B0035D"/>
    <w:rsid w:val="00B02B7D"/>
    <w:rsid w:val="00B46064"/>
    <w:rsid w:val="00B52354"/>
    <w:rsid w:val="00B76AA5"/>
    <w:rsid w:val="00BB0A11"/>
    <w:rsid w:val="00BC69A3"/>
    <w:rsid w:val="00C03BE3"/>
    <w:rsid w:val="00C22F33"/>
    <w:rsid w:val="00C61AB2"/>
    <w:rsid w:val="00CA0507"/>
    <w:rsid w:val="00CB1718"/>
    <w:rsid w:val="00CF1C40"/>
    <w:rsid w:val="00D73633"/>
    <w:rsid w:val="00DC69F1"/>
    <w:rsid w:val="00DF2D8D"/>
    <w:rsid w:val="00E046B2"/>
    <w:rsid w:val="00E1039A"/>
    <w:rsid w:val="00E6578E"/>
    <w:rsid w:val="00E9636B"/>
    <w:rsid w:val="00EE5954"/>
    <w:rsid w:val="00F301A7"/>
    <w:rsid w:val="00F344CF"/>
    <w:rsid w:val="00FC6255"/>
    <w:rsid w:val="00FC73E0"/>
    <w:rsid w:val="00F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20">
    <w:name w:val="Body Text 2"/>
    <w:basedOn w:val="Normal"/>
    <w:pPr>
      <w:ind w:firstLine="360"/>
      <w:jc w:val="both"/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il">
    <w:name w:val="il"/>
    <w:basedOn w:val="DefaultParagraphFont"/>
    <w:rsid w:val="00A54143"/>
  </w:style>
  <w:style w:type="character" w:styleId="Strong">
    <w:name w:val="Strong"/>
    <w:uiPriority w:val="22"/>
    <w:qFormat/>
    <w:rsid w:val="00BC69A3"/>
    <w:rPr>
      <w:b/>
      <w:bCs/>
    </w:rPr>
  </w:style>
  <w:style w:type="character" w:styleId="Emphasis">
    <w:name w:val="Emphasis"/>
    <w:uiPriority w:val="20"/>
    <w:qFormat/>
    <w:rsid w:val="00BC69A3"/>
    <w:rPr>
      <w:i/>
      <w:iCs/>
    </w:rPr>
  </w:style>
  <w:style w:type="paragraph" w:customStyle="1" w:styleId="SpaceAfter">
    <w:name w:val="Space After"/>
    <w:basedOn w:val="Normal"/>
    <w:qFormat/>
    <w:rsid w:val="0032473A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/>
      <w:sz w:val="16"/>
      <w:szCs w:val="22"/>
      <w:lang w:val="en-US"/>
    </w:rPr>
  </w:style>
  <w:style w:type="paragraph" w:styleId="FootnoteText">
    <w:name w:val="footnote text"/>
    <w:basedOn w:val="Normal"/>
    <w:link w:val="FootnoteTextChar"/>
    <w:rsid w:val="00C61AB2"/>
    <w:rPr>
      <w:lang/>
    </w:rPr>
  </w:style>
  <w:style w:type="character" w:customStyle="1" w:styleId="FootnoteTextChar">
    <w:name w:val="Footnote Text Char"/>
    <w:link w:val="FootnoteText"/>
    <w:rsid w:val="00C61AB2"/>
    <w:rPr>
      <w:rFonts w:ascii="Times New Roman" w:hAnsi="Times New Roman"/>
      <w:lang w:val="en-GB"/>
    </w:rPr>
  </w:style>
  <w:style w:type="character" w:styleId="FootnoteReference">
    <w:name w:val="footnote reference"/>
    <w:rsid w:val="00C61AB2"/>
    <w:rPr>
      <w:vertAlign w:val="superscript"/>
    </w:rPr>
  </w:style>
  <w:style w:type="paragraph" w:styleId="BalloonText">
    <w:name w:val="Balloon Text"/>
    <w:basedOn w:val="Normal"/>
    <w:link w:val="BalloonTextChar"/>
    <w:rsid w:val="00BB0A11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BB0A11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rsid w:val="00BB0A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0A11"/>
    <w:rPr>
      <w:sz w:val="24"/>
      <w:szCs w:val="24"/>
      <w:lang/>
    </w:rPr>
  </w:style>
  <w:style w:type="character" w:customStyle="1" w:styleId="CommentTextChar">
    <w:name w:val="Comment Text Char"/>
    <w:link w:val="CommentText"/>
    <w:rsid w:val="00BB0A11"/>
    <w:rPr>
      <w:rFonts w:ascii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B0A11"/>
    <w:rPr>
      <w:b/>
      <w:bCs/>
    </w:rPr>
  </w:style>
  <w:style w:type="character" w:customStyle="1" w:styleId="CommentSubjectChar">
    <w:name w:val="Comment Subject Char"/>
    <w:link w:val="CommentSubject"/>
    <w:rsid w:val="00BB0A11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00B59"/>
    <w:rPr>
      <w:rFonts w:ascii="Arial" w:hAnsi="Arial"/>
      <w:b/>
      <w:sz w:val="28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00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240-476-8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eric</cp:lastModifiedBy>
  <cp:revision>7</cp:revision>
  <cp:lastPrinted>2012-01-19T15:58:00Z</cp:lastPrinted>
  <dcterms:created xsi:type="dcterms:W3CDTF">2014-01-10T21:39:00Z</dcterms:created>
  <dcterms:modified xsi:type="dcterms:W3CDTF">2014-01-10T23:37:00Z</dcterms:modified>
</cp:coreProperties>
</file>