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D2126" w14:textId="69C0A056" w:rsidR="002F616B" w:rsidRDefault="00BB6745">
      <w:pPr>
        <w:rPr>
          <w:rFonts w:ascii="Times New Roman" w:hAnsi="Times New Roman" w:cs="Times New Roman"/>
          <w:i/>
          <w:sz w:val="28"/>
          <w:szCs w:val="28"/>
          <w:shd w:val="clear" w:color="auto" w:fill="FFFFFF"/>
        </w:rPr>
      </w:pPr>
      <w:r>
        <w:rPr>
          <w:rFonts w:ascii="Times New Roman" w:hAnsi="Times New Roman" w:cs="Times New Roman"/>
          <w:b/>
          <w:i/>
          <w:sz w:val="28"/>
          <w:szCs w:val="28"/>
          <w:shd w:val="clear" w:color="auto" w:fill="FFFFFF"/>
        </w:rPr>
        <w:t xml:space="preserve">RESIDENTIAL RESPONSE TO CRITICAL PEAK EVENTS OF ELECTRICITY: A GREEN MOUNTAIN POWER EXPERIENCE </w:t>
      </w:r>
    </w:p>
    <w:p w14:paraId="4AFD7071" w14:textId="77777777" w:rsidR="002F616B" w:rsidRDefault="002F616B" w:rsidP="002F616B">
      <w:pPr>
        <w:spacing w:after="0" w:line="240" w:lineRule="auto"/>
        <w:jc w:val="right"/>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Seth Blumsack, Penn State University, </w:t>
      </w:r>
      <w:r w:rsidR="00D7449B">
        <w:rPr>
          <w:rFonts w:ascii="Times New Roman" w:hAnsi="Times New Roman" w:cs="Times New Roman"/>
          <w:sz w:val="20"/>
          <w:szCs w:val="20"/>
          <w:shd w:val="clear" w:color="auto" w:fill="FFFFFF"/>
        </w:rPr>
        <w:t xml:space="preserve">814-863-7597, </w:t>
      </w:r>
      <w:hyperlink r:id="rId4" w:history="1">
        <w:r w:rsidR="004C4478" w:rsidRPr="00420A14">
          <w:rPr>
            <w:rStyle w:val="Hyperlink"/>
            <w:rFonts w:ascii="Times New Roman" w:hAnsi="Times New Roman" w:cs="Times New Roman"/>
            <w:sz w:val="20"/>
            <w:szCs w:val="20"/>
            <w:shd w:val="clear" w:color="auto" w:fill="FFFFFF"/>
          </w:rPr>
          <w:t>sethb@psu.edu</w:t>
        </w:r>
      </w:hyperlink>
    </w:p>
    <w:p w14:paraId="77CF7D62" w14:textId="77777777" w:rsidR="00D7449B" w:rsidRDefault="002F616B" w:rsidP="002F616B">
      <w:pPr>
        <w:spacing w:after="0" w:line="240" w:lineRule="auto"/>
        <w:jc w:val="right"/>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Paul Hines, University of Vermont,</w:t>
      </w:r>
      <w:r w:rsidR="00D7449B">
        <w:rPr>
          <w:rFonts w:ascii="Times New Roman" w:hAnsi="Times New Roman" w:cs="Times New Roman"/>
          <w:sz w:val="20"/>
          <w:szCs w:val="20"/>
          <w:shd w:val="clear" w:color="auto" w:fill="FFFFFF"/>
        </w:rPr>
        <w:t xml:space="preserve"> 802-656-9960,</w:t>
      </w:r>
      <w:r>
        <w:rPr>
          <w:rFonts w:ascii="Times New Roman" w:hAnsi="Times New Roman" w:cs="Times New Roman"/>
          <w:sz w:val="20"/>
          <w:szCs w:val="20"/>
          <w:shd w:val="clear" w:color="auto" w:fill="FFFFFF"/>
        </w:rPr>
        <w:t xml:space="preserve"> </w:t>
      </w:r>
      <w:hyperlink r:id="rId5" w:history="1">
        <w:r w:rsidR="004C4478" w:rsidRPr="00420A14">
          <w:rPr>
            <w:rStyle w:val="Hyperlink"/>
            <w:rFonts w:ascii="Times New Roman" w:hAnsi="Times New Roman" w:cs="Times New Roman"/>
            <w:sz w:val="20"/>
            <w:szCs w:val="20"/>
            <w:shd w:val="clear" w:color="auto" w:fill="FFFFFF"/>
          </w:rPr>
          <w:t>paul.hines@uvm.edu</w:t>
        </w:r>
      </w:hyperlink>
    </w:p>
    <w:p w14:paraId="6E0A0CBD" w14:textId="77777777" w:rsidR="002F616B" w:rsidRDefault="002F616B" w:rsidP="002F616B">
      <w:pPr>
        <w:spacing w:after="0" w:line="240" w:lineRule="auto"/>
        <w:jc w:val="right"/>
        <w:rPr>
          <w:rFonts w:ascii="Times New Roman" w:hAnsi="Times New Roman" w:cs="Times New Roman"/>
          <w:sz w:val="20"/>
          <w:szCs w:val="20"/>
          <w:shd w:val="clear" w:color="auto" w:fill="FFFFFF"/>
        </w:rPr>
      </w:pPr>
      <w:proofErr w:type="spellStart"/>
      <w:r>
        <w:rPr>
          <w:rFonts w:ascii="Times New Roman" w:hAnsi="Times New Roman" w:cs="Times New Roman"/>
          <w:sz w:val="20"/>
          <w:szCs w:val="20"/>
          <w:shd w:val="clear" w:color="auto" w:fill="FFFFFF"/>
        </w:rPr>
        <w:t>Suman</w:t>
      </w:r>
      <w:proofErr w:type="spellEnd"/>
      <w:r>
        <w:rPr>
          <w:rFonts w:ascii="Times New Roman" w:hAnsi="Times New Roman" w:cs="Times New Roman"/>
          <w:sz w:val="20"/>
          <w:szCs w:val="20"/>
          <w:shd w:val="clear" w:color="auto" w:fill="FFFFFF"/>
        </w:rPr>
        <w:t xml:space="preserve"> Gautam, Penn State University, </w:t>
      </w:r>
      <w:r w:rsidR="00D7449B">
        <w:rPr>
          <w:rFonts w:ascii="Times New Roman" w:hAnsi="Times New Roman" w:cs="Times New Roman"/>
          <w:sz w:val="20"/>
          <w:szCs w:val="20"/>
          <w:shd w:val="clear" w:color="auto" w:fill="FFFFFF"/>
        </w:rPr>
        <w:t xml:space="preserve">214-542-6697, </w:t>
      </w:r>
      <w:hyperlink r:id="rId6" w:history="1">
        <w:r w:rsidR="00D7449B" w:rsidRPr="00420A14">
          <w:rPr>
            <w:rStyle w:val="Hyperlink"/>
            <w:rFonts w:ascii="Times New Roman" w:hAnsi="Times New Roman" w:cs="Times New Roman"/>
            <w:sz w:val="20"/>
            <w:szCs w:val="20"/>
            <w:shd w:val="clear" w:color="auto" w:fill="FFFFFF"/>
          </w:rPr>
          <w:t>sig5203@psu.edu</w:t>
        </w:r>
      </w:hyperlink>
    </w:p>
    <w:p w14:paraId="12979D7B" w14:textId="77777777" w:rsidR="00D7449B" w:rsidRPr="002F616B" w:rsidRDefault="00D7449B" w:rsidP="002F616B">
      <w:pPr>
        <w:spacing w:after="0" w:line="240" w:lineRule="auto"/>
        <w:jc w:val="right"/>
        <w:rPr>
          <w:rFonts w:ascii="Times New Roman" w:hAnsi="Times New Roman" w:cs="Times New Roman"/>
          <w:sz w:val="20"/>
          <w:szCs w:val="20"/>
        </w:rPr>
      </w:pPr>
    </w:p>
    <w:p w14:paraId="5D814409" w14:textId="77777777" w:rsidR="00D84437" w:rsidRPr="00177B3D" w:rsidRDefault="00DD40A2">
      <w:pPr>
        <w:rPr>
          <w:rFonts w:ascii="Arial" w:hAnsi="Arial" w:cs="Arial"/>
          <w:sz w:val="24"/>
          <w:szCs w:val="24"/>
        </w:rPr>
      </w:pPr>
      <w:r w:rsidRPr="00177B3D">
        <w:rPr>
          <w:rFonts w:ascii="Arial" w:hAnsi="Arial" w:cs="Arial"/>
          <w:sz w:val="24"/>
          <w:szCs w:val="24"/>
        </w:rPr>
        <w:t xml:space="preserve">Overview </w:t>
      </w:r>
    </w:p>
    <w:p w14:paraId="431BEAA1" w14:textId="437A9BEF" w:rsidR="00574BD2" w:rsidRDefault="00574BD2" w:rsidP="0010130F">
      <w:pPr>
        <w:rPr>
          <w:rFonts w:ascii="Times New Roman" w:hAnsi="Times New Roman" w:cs="Times New Roman"/>
          <w:sz w:val="20"/>
          <w:szCs w:val="20"/>
        </w:rPr>
      </w:pPr>
      <w:r>
        <w:rPr>
          <w:rFonts w:ascii="Times New Roman" w:hAnsi="Times New Roman" w:cs="Times New Roman"/>
          <w:sz w:val="20"/>
          <w:szCs w:val="20"/>
        </w:rPr>
        <w:t>When electricity demand is at or near peak, the short-run and long-run costs of meeting incremental peak demands can rise quickly</w:t>
      </w:r>
      <w:r w:rsidR="002C0826" w:rsidRPr="005038D1">
        <w:rPr>
          <w:rFonts w:ascii="Times New Roman" w:hAnsi="Times New Roman" w:cs="Times New Roman"/>
          <w:sz w:val="20"/>
          <w:szCs w:val="20"/>
        </w:rPr>
        <w:t xml:space="preserve">. Large amount of generating capacity has to be </w:t>
      </w:r>
      <w:r w:rsidR="0010130F" w:rsidRPr="005038D1">
        <w:rPr>
          <w:rFonts w:ascii="Times New Roman" w:hAnsi="Times New Roman" w:cs="Times New Roman"/>
          <w:sz w:val="20"/>
          <w:szCs w:val="20"/>
        </w:rPr>
        <w:t xml:space="preserve">kept </w:t>
      </w:r>
      <w:r w:rsidR="002C0826" w:rsidRPr="005038D1">
        <w:rPr>
          <w:rFonts w:ascii="Times New Roman" w:hAnsi="Times New Roman" w:cs="Times New Roman"/>
          <w:sz w:val="20"/>
          <w:szCs w:val="20"/>
        </w:rPr>
        <w:t xml:space="preserve">in reserve in order to supply electricity </w:t>
      </w:r>
      <w:r w:rsidR="00520128" w:rsidRPr="005038D1">
        <w:rPr>
          <w:rFonts w:ascii="Times New Roman" w:hAnsi="Times New Roman" w:cs="Times New Roman"/>
          <w:sz w:val="20"/>
          <w:szCs w:val="20"/>
        </w:rPr>
        <w:t>during</w:t>
      </w:r>
      <w:r w:rsidR="002C0826" w:rsidRPr="005038D1">
        <w:rPr>
          <w:rFonts w:ascii="Times New Roman" w:hAnsi="Times New Roman" w:cs="Times New Roman"/>
          <w:sz w:val="20"/>
          <w:szCs w:val="20"/>
        </w:rPr>
        <w:t xml:space="preserve"> the high demand period</w:t>
      </w:r>
      <w:r w:rsidR="00520128" w:rsidRPr="005038D1">
        <w:rPr>
          <w:rFonts w:ascii="Times New Roman" w:hAnsi="Times New Roman" w:cs="Times New Roman"/>
          <w:sz w:val="20"/>
          <w:szCs w:val="20"/>
        </w:rPr>
        <w:t>s</w:t>
      </w:r>
      <w:r w:rsidR="002C0826" w:rsidRPr="005038D1">
        <w:rPr>
          <w:rFonts w:ascii="Times New Roman" w:hAnsi="Times New Roman" w:cs="Times New Roman"/>
          <w:sz w:val="20"/>
          <w:szCs w:val="20"/>
        </w:rPr>
        <w:t xml:space="preserve">. At the same time, transmission and distribution systems need to be able to accommodate the </w:t>
      </w:r>
      <w:r w:rsidR="00520128" w:rsidRPr="005038D1">
        <w:rPr>
          <w:rFonts w:ascii="Times New Roman" w:hAnsi="Times New Roman" w:cs="Times New Roman"/>
          <w:sz w:val="20"/>
          <w:szCs w:val="20"/>
        </w:rPr>
        <w:t>peak electricity</w:t>
      </w:r>
      <w:r w:rsidR="002C0826" w:rsidRPr="005038D1">
        <w:rPr>
          <w:rFonts w:ascii="Times New Roman" w:hAnsi="Times New Roman" w:cs="Times New Roman"/>
          <w:sz w:val="20"/>
          <w:szCs w:val="20"/>
        </w:rPr>
        <w:t xml:space="preserve"> demand</w:t>
      </w:r>
      <w:r w:rsidR="00520128" w:rsidRPr="005038D1">
        <w:rPr>
          <w:rFonts w:ascii="Times New Roman" w:hAnsi="Times New Roman" w:cs="Times New Roman"/>
          <w:sz w:val="20"/>
          <w:szCs w:val="20"/>
        </w:rPr>
        <w:t>s resulting</w:t>
      </w:r>
      <w:r w:rsidR="002C0826" w:rsidRPr="005038D1">
        <w:rPr>
          <w:rFonts w:ascii="Times New Roman" w:hAnsi="Times New Roman" w:cs="Times New Roman"/>
          <w:sz w:val="20"/>
          <w:szCs w:val="20"/>
        </w:rPr>
        <w:t xml:space="preserve"> in </w:t>
      </w:r>
      <w:r>
        <w:rPr>
          <w:rFonts w:ascii="Times New Roman" w:hAnsi="Times New Roman" w:cs="Times New Roman"/>
          <w:sz w:val="20"/>
          <w:szCs w:val="20"/>
        </w:rPr>
        <w:t>higher investment costs</w:t>
      </w:r>
      <w:r w:rsidR="002C0826" w:rsidRPr="005038D1">
        <w:rPr>
          <w:rFonts w:ascii="Times New Roman" w:hAnsi="Times New Roman" w:cs="Times New Roman"/>
          <w:sz w:val="20"/>
          <w:szCs w:val="20"/>
        </w:rPr>
        <w:t xml:space="preserve">. </w:t>
      </w:r>
      <w:r>
        <w:rPr>
          <w:rFonts w:ascii="Times New Roman" w:hAnsi="Times New Roman" w:cs="Times New Roman"/>
          <w:sz w:val="20"/>
          <w:szCs w:val="20"/>
        </w:rPr>
        <w:t xml:space="preserve">Introducing time-varying pricing can help electric utilities provide customers with incentives to reduce or shift consumption during peak periods, lowering short-run generation costs and reducing the need for some long-run peak-driven investments. This paper reports on a “critical peak” pricing experiment run by Green Mountain Power (GMP) in Central Vermont. The experiment was designed as a set of randomized control trials where customers were given different rate structures and information on their electricity consumption, and exposed to a number of declared “critical peak events” during which retail electric rates would increase substantially relative to non-critical time periods.  Based on analysis </w:t>
      </w:r>
      <w:bookmarkStart w:id="0" w:name="_GoBack"/>
      <w:bookmarkEnd w:id="0"/>
      <w:r>
        <w:rPr>
          <w:rFonts w:ascii="Times New Roman" w:hAnsi="Times New Roman" w:cs="Times New Roman"/>
          <w:sz w:val="20"/>
          <w:szCs w:val="20"/>
        </w:rPr>
        <w:t xml:space="preserve">of customer response during the first year of the study, we found that </w:t>
      </w:r>
      <w:r w:rsidR="00AC620F">
        <w:rPr>
          <w:rFonts w:ascii="Times New Roman" w:hAnsi="Times New Roman" w:cs="Times New Roman"/>
          <w:sz w:val="20"/>
          <w:szCs w:val="20"/>
        </w:rPr>
        <w:t>customers did respond to higher rates during critical peak periods, although the response magnitude varied depending on the type of critical peak rate to which customers were exposed.</w:t>
      </w:r>
    </w:p>
    <w:p w14:paraId="592E1EB8" w14:textId="77777777" w:rsidR="00DD40A2" w:rsidRPr="00177B3D" w:rsidRDefault="00DD40A2">
      <w:pPr>
        <w:rPr>
          <w:rFonts w:ascii="Arial" w:hAnsi="Arial" w:cs="Arial"/>
          <w:sz w:val="24"/>
          <w:szCs w:val="24"/>
        </w:rPr>
      </w:pPr>
      <w:r w:rsidRPr="00177B3D">
        <w:rPr>
          <w:rFonts w:ascii="Arial" w:hAnsi="Arial" w:cs="Arial"/>
          <w:sz w:val="24"/>
          <w:szCs w:val="24"/>
        </w:rPr>
        <w:t>Methods</w:t>
      </w:r>
    </w:p>
    <w:p w14:paraId="595D58AD" w14:textId="1D8B5447" w:rsidR="002C0826" w:rsidRPr="005038D1" w:rsidRDefault="002C0826" w:rsidP="002C0826">
      <w:pPr>
        <w:rPr>
          <w:rFonts w:ascii="Times New Roman" w:hAnsi="Times New Roman" w:cs="Times New Roman"/>
          <w:sz w:val="20"/>
          <w:szCs w:val="20"/>
        </w:rPr>
      </w:pPr>
      <w:r w:rsidRPr="005038D1">
        <w:rPr>
          <w:rFonts w:ascii="Times New Roman" w:hAnsi="Times New Roman" w:cs="Times New Roman"/>
          <w:sz w:val="20"/>
          <w:szCs w:val="20"/>
        </w:rPr>
        <w:t xml:space="preserve">Green Mountain Power (GMP) launched </w:t>
      </w:r>
      <w:r w:rsidR="000223D2" w:rsidRPr="005038D1">
        <w:rPr>
          <w:rFonts w:ascii="Times New Roman" w:hAnsi="Times New Roman" w:cs="Times New Roman"/>
          <w:sz w:val="20"/>
          <w:szCs w:val="20"/>
        </w:rPr>
        <w:t>the pilot study</w:t>
      </w:r>
      <w:r w:rsidRPr="005038D1">
        <w:rPr>
          <w:rFonts w:ascii="Times New Roman" w:hAnsi="Times New Roman" w:cs="Times New Roman"/>
          <w:sz w:val="20"/>
          <w:szCs w:val="20"/>
        </w:rPr>
        <w:t xml:space="preserve"> during summers of 2012 and 2013 with the help of two time-based emergency DR programs – critical peak pricing (CPP) and critical peak rebate (CPR) – coupled with the in-home display (IHD) equipment</w:t>
      </w:r>
      <w:r w:rsidR="00AC620F">
        <w:rPr>
          <w:rFonts w:ascii="Times New Roman" w:hAnsi="Times New Roman" w:cs="Times New Roman"/>
          <w:sz w:val="20"/>
          <w:szCs w:val="20"/>
        </w:rPr>
        <w:t xml:space="preserve"> that provided real-time feedback on household-level electricity usage</w:t>
      </w:r>
      <w:r w:rsidRPr="005038D1">
        <w:rPr>
          <w:rFonts w:ascii="Times New Roman" w:hAnsi="Times New Roman" w:cs="Times New Roman"/>
          <w:sz w:val="20"/>
          <w:szCs w:val="20"/>
        </w:rPr>
        <w:t xml:space="preserve">. CPP charges very high pre-determined electricity price during the critical event period. CPR provides incentives to participants for reducing consumption below </w:t>
      </w:r>
      <w:r w:rsidR="00AC620F">
        <w:rPr>
          <w:rFonts w:ascii="Times New Roman" w:hAnsi="Times New Roman" w:cs="Times New Roman"/>
          <w:sz w:val="20"/>
          <w:szCs w:val="20"/>
        </w:rPr>
        <w:t>a determined</w:t>
      </w:r>
      <w:r w:rsidR="00AC620F" w:rsidRPr="005038D1">
        <w:rPr>
          <w:rFonts w:ascii="Times New Roman" w:hAnsi="Times New Roman" w:cs="Times New Roman"/>
          <w:sz w:val="20"/>
          <w:szCs w:val="20"/>
        </w:rPr>
        <w:t xml:space="preserve"> </w:t>
      </w:r>
      <w:r w:rsidRPr="005038D1">
        <w:rPr>
          <w:rFonts w:ascii="Times New Roman" w:hAnsi="Times New Roman" w:cs="Times New Roman"/>
          <w:sz w:val="20"/>
          <w:szCs w:val="20"/>
        </w:rPr>
        <w:t xml:space="preserve">baseline. IHD allows a two-way communication between customers and electricity grid showing information on real-time electricity consumption and critical peak events. The 3735 </w:t>
      </w:r>
      <w:r w:rsidR="003E68B5" w:rsidRPr="005038D1">
        <w:rPr>
          <w:rFonts w:ascii="Times New Roman" w:hAnsi="Times New Roman" w:cs="Times New Roman"/>
          <w:sz w:val="20"/>
          <w:szCs w:val="20"/>
        </w:rPr>
        <w:t xml:space="preserve">single-home residents of Rutland area </w:t>
      </w:r>
      <w:r w:rsidR="00D33493">
        <w:rPr>
          <w:rFonts w:ascii="Times New Roman" w:hAnsi="Times New Roman" w:cs="Times New Roman"/>
          <w:sz w:val="20"/>
          <w:szCs w:val="20"/>
        </w:rPr>
        <w:t>are</w:t>
      </w:r>
      <w:r w:rsidR="003E68B5" w:rsidRPr="005038D1">
        <w:rPr>
          <w:rFonts w:ascii="Times New Roman" w:hAnsi="Times New Roman" w:cs="Times New Roman"/>
          <w:sz w:val="20"/>
          <w:szCs w:val="20"/>
        </w:rPr>
        <w:t xml:space="preserve"> </w:t>
      </w:r>
      <w:r w:rsidRPr="005038D1">
        <w:rPr>
          <w:rFonts w:ascii="Times New Roman" w:hAnsi="Times New Roman" w:cs="Times New Roman"/>
          <w:sz w:val="20"/>
          <w:szCs w:val="20"/>
        </w:rPr>
        <w:t xml:space="preserve">separated into six treatment groups and two control groups resulting into 17 million hourly load observation for the first year of the study. </w:t>
      </w:r>
    </w:p>
    <w:p w14:paraId="6D1FCAE6" w14:textId="052CD6ED" w:rsidR="0068484F" w:rsidRPr="005038D1" w:rsidRDefault="0068484F" w:rsidP="0068484F">
      <w:pPr>
        <w:rPr>
          <w:rFonts w:ascii="Times New Roman" w:hAnsi="Times New Roman" w:cs="Times New Roman"/>
          <w:sz w:val="20"/>
          <w:szCs w:val="20"/>
        </w:rPr>
      </w:pPr>
      <w:r w:rsidRPr="005038D1">
        <w:rPr>
          <w:rFonts w:ascii="Times New Roman" w:hAnsi="Times New Roman" w:cs="Times New Roman"/>
          <w:sz w:val="20"/>
          <w:szCs w:val="20"/>
        </w:rPr>
        <w:t xml:space="preserve">The </w:t>
      </w:r>
      <w:r w:rsidR="00D33493">
        <w:rPr>
          <w:rFonts w:ascii="Times New Roman" w:hAnsi="Times New Roman" w:cs="Times New Roman"/>
          <w:sz w:val="20"/>
          <w:szCs w:val="20"/>
        </w:rPr>
        <w:t>paper’s</w:t>
      </w:r>
      <w:r w:rsidRPr="005038D1">
        <w:rPr>
          <w:rFonts w:ascii="Times New Roman" w:hAnsi="Times New Roman" w:cs="Times New Roman"/>
          <w:sz w:val="20"/>
          <w:szCs w:val="20"/>
        </w:rPr>
        <w:t xml:space="preserve"> primary interest is to </w:t>
      </w:r>
      <w:r w:rsidR="00AC620F">
        <w:rPr>
          <w:rFonts w:ascii="Times New Roman" w:hAnsi="Times New Roman" w:cs="Times New Roman"/>
          <w:sz w:val="20"/>
          <w:szCs w:val="20"/>
        </w:rPr>
        <w:t>estimate</w:t>
      </w:r>
      <w:r w:rsidR="00AC620F" w:rsidRPr="005038D1">
        <w:rPr>
          <w:rFonts w:ascii="Times New Roman" w:hAnsi="Times New Roman" w:cs="Times New Roman"/>
          <w:sz w:val="20"/>
          <w:szCs w:val="20"/>
        </w:rPr>
        <w:t xml:space="preserve"> </w:t>
      </w:r>
      <w:r w:rsidRPr="005038D1">
        <w:rPr>
          <w:rFonts w:ascii="Times New Roman" w:hAnsi="Times New Roman" w:cs="Times New Roman"/>
          <w:sz w:val="20"/>
          <w:szCs w:val="20"/>
        </w:rPr>
        <w:t xml:space="preserve">the impact of different treatment rates and information system in real-time electricity usage. </w:t>
      </w:r>
      <w:r w:rsidR="002C0826" w:rsidRPr="005038D1">
        <w:rPr>
          <w:rFonts w:ascii="Times New Roman" w:hAnsi="Times New Roman" w:cs="Times New Roman"/>
          <w:sz w:val="20"/>
          <w:szCs w:val="20"/>
        </w:rPr>
        <w:t xml:space="preserve">We create a panel dataset combing hourly electricity load, critical peak event information, weather variables, and participant specific characteristics. </w:t>
      </w:r>
      <w:r w:rsidRPr="005038D1">
        <w:rPr>
          <w:rFonts w:ascii="Times New Roman" w:hAnsi="Times New Roman" w:cs="Times New Roman"/>
          <w:sz w:val="20"/>
          <w:szCs w:val="20"/>
        </w:rPr>
        <w:t xml:space="preserve">We use difference-in-difference regression approach starting with </w:t>
      </w:r>
      <w:r w:rsidR="000223D2" w:rsidRPr="005038D1">
        <w:rPr>
          <w:rFonts w:ascii="Times New Roman" w:hAnsi="Times New Roman" w:cs="Times New Roman"/>
          <w:sz w:val="20"/>
          <w:szCs w:val="20"/>
        </w:rPr>
        <w:t>r</w:t>
      </w:r>
      <w:r w:rsidRPr="005038D1">
        <w:rPr>
          <w:rFonts w:ascii="Times New Roman" w:hAnsi="Times New Roman" w:cs="Times New Roman"/>
          <w:sz w:val="20"/>
          <w:szCs w:val="20"/>
        </w:rPr>
        <w:t xml:space="preserve">andomized </w:t>
      </w:r>
      <w:r w:rsidR="000223D2" w:rsidRPr="005038D1">
        <w:rPr>
          <w:rFonts w:ascii="Times New Roman" w:hAnsi="Times New Roman" w:cs="Times New Roman"/>
          <w:sz w:val="20"/>
          <w:szCs w:val="20"/>
        </w:rPr>
        <w:t>c</w:t>
      </w:r>
      <w:r w:rsidRPr="005038D1">
        <w:rPr>
          <w:rFonts w:ascii="Times New Roman" w:hAnsi="Times New Roman" w:cs="Times New Roman"/>
          <w:sz w:val="20"/>
          <w:szCs w:val="20"/>
        </w:rPr>
        <w:t xml:space="preserve">ontrol </w:t>
      </w:r>
      <w:r w:rsidR="000223D2" w:rsidRPr="005038D1">
        <w:rPr>
          <w:rFonts w:ascii="Times New Roman" w:hAnsi="Times New Roman" w:cs="Times New Roman"/>
          <w:sz w:val="20"/>
          <w:szCs w:val="20"/>
        </w:rPr>
        <w:t>t</w:t>
      </w:r>
      <w:r w:rsidRPr="005038D1">
        <w:rPr>
          <w:rFonts w:ascii="Times New Roman" w:hAnsi="Times New Roman" w:cs="Times New Roman"/>
          <w:sz w:val="20"/>
          <w:szCs w:val="20"/>
        </w:rPr>
        <w:t xml:space="preserve">reatment (RCT) analysis followed by </w:t>
      </w:r>
      <w:r w:rsidR="000223D2" w:rsidRPr="005038D1">
        <w:rPr>
          <w:rFonts w:ascii="Times New Roman" w:hAnsi="Times New Roman" w:cs="Times New Roman"/>
          <w:sz w:val="20"/>
          <w:szCs w:val="20"/>
        </w:rPr>
        <w:t>r</w:t>
      </w:r>
      <w:r w:rsidRPr="005038D1">
        <w:rPr>
          <w:rFonts w:ascii="Times New Roman" w:hAnsi="Times New Roman" w:cs="Times New Roman"/>
          <w:sz w:val="20"/>
          <w:szCs w:val="20"/>
        </w:rPr>
        <w:t xml:space="preserve">andomized </w:t>
      </w:r>
      <w:r w:rsidR="000223D2" w:rsidRPr="005038D1">
        <w:rPr>
          <w:rFonts w:ascii="Times New Roman" w:hAnsi="Times New Roman" w:cs="Times New Roman"/>
          <w:sz w:val="20"/>
          <w:szCs w:val="20"/>
        </w:rPr>
        <w:t>e</w:t>
      </w:r>
      <w:r w:rsidRPr="005038D1">
        <w:rPr>
          <w:rFonts w:ascii="Times New Roman" w:hAnsi="Times New Roman" w:cs="Times New Roman"/>
          <w:sz w:val="20"/>
          <w:szCs w:val="20"/>
        </w:rPr>
        <w:t xml:space="preserve">ncouragement </w:t>
      </w:r>
      <w:r w:rsidR="000223D2" w:rsidRPr="005038D1">
        <w:rPr>
          <w:rFonts w:ascii="Times New Roman" w:hAnsi="Times New Roman" w:cs="Times New Roman"/>
          <w:sz w:val="20"/>
          <w:szCs w:val="20"/>
        </w:rPr>
        <w:t>d</w:t>
      </w:r>
      <w:r w:rsidRPr="005038D1">
        <w:rPr>
          <w:rFonts w:ascii="Times New Roman" w:hAnsi="Times New Roman" w:cs="Times New Roman"/>
          <w:sz w:val="20"/>
          <w:szCs w:val="20"/>
        </w:rPr>
        <w:t xml:space="preserve">esign (RED). </w:t>
      </w:r>
      <w:r w:rsidR="002C0826" w:rsidRPr="005038D1">
        <w:rPr>
          <w:rFonts w:ascii="Times New Roman" w:hAnsi="Times New Roman" w:cs="Times New Roman"/>
          <w:sz w:val="20"/>
          <w:szCs w:val="20"/>
        </w:rPr>
        <w:t xml:space="preserve">The paper </w:t>
      </w:r>
      <w:r w:rsidR="000223D2" w:rsidRPr="005038D1">
        <w:rPr>
          <w:rFonts w:ascii="Times New Roman" w:hAnsi="Times New Roman" w:cs="Times New Roman"/>
          <w:sz w:val="20"/>
          <w:szCs w:val="20"/>
        </w:rPr>
        <w:t xml:space="preserve">also </w:t>
      </w:r>
      <w:r w:rsidR="002C0826" w:rsidRPr="005038D1">
        <w:rPr>
          <w:rFonts w:ascii="Times New Roman" w:hAnsi="Times New Roman" w:cs="Times New Roman"/>
          <w:sz w:val="20"/>
          <w:szCs w:val="20"/>
        </w:rPr>
        <w:t xml:space="preserve">conducts persistence analysis to analyze customers’ responses within different time periods of the critical peak event, specifically within critical peak event hours, event-to-event analysis, and inter-year analysis.  Furthermore, the paper also estimates </w:t>
      </w:r>
      <w:r w:rsidRPr="005038D1">
        <w:rPr>
          <w:rFonts w:ascii="Times New Roman" w:hAnsi="Times New Roman" w:cs="Times New Roman"/>
          <w:sz w:val="20"/>
          <w:szCs w:val="20"/>
        </w:rPr>
        <w:t>the impact of real time electricity feedback system on energy consumption. Customers equipped with the IHD technology can look at their real time electricity usage and can adjust their consumption pattern.</w:t>
      </w:r>
    </w:p>
    <w:p w14:paraId="77B7C287" w14:textId="77777777" w:rsidR="00DD40A2" w:rsidRPr="00177B3D" w:rsidRDefault="00DD40A2">
      <w:pPr>
        <w:rPr>
          <w:rFonts w:ascii="Arial" w:hAnsi="Arial" w:cs="Arial"/>
          <w:sz w:val="24"/>
          <w:szCs w:val="24"/>
        </w:rPr>
      </w:pPr>
      <w:r w:rsidRPr="00177B3D">
        <w:rPr>
          <w:rFonts w:ascii="Arial" w:hAnsi="Arial" w:cs="Arial"/>
          <w:sz w:val="24"/>
          <w:szCs w:val="24"/>
        </w:rPr>
        <w:t xml:space="preserve">Results </w:t>
      </w:r>
    </w:p>
    <w:p w14:paraId="5FAEA150" w14:textId="77777777" w:rsidR="00DD40A2" w:rsidRDefault="0010130F">
      <w:pPr>
        <w:rPr>
          <w:rFonts w:ascii="Times New Roman" w:hAnsi="Times New Roman" w:cs="Times New Roman"/>
          <w:sz w:val="20"/>
          <w:szCs w:val="20"/>
        </w:rPr>
      </w:pPr>
      <w:r w:rsidRPr="005038D1">
        <w:rPr>
          <w:rFonts w:ascii="Times New Roman" w:hAnsi="Times New Roman" w:cs="Times New Roman"/>
          <w:sz w:val="20"/>
          <w:szCs w:val="20"/>
        </w:rPr>
        <w:t xml:space="preserve">The econometric analysis </w:t>
      </w:r>
      <w:r w:rsidR="0068484F" w:rsidRPr="005038D1">
        <w:rPr>
          <w:rFonts w:ascii="Times New Roman" w:hAnsi="Times New Roman" w:cs="Times New Roman"/>
          <w:sz w:val="20"/>
          <w:szCs w:val="20"/>
        </w:rPr>
        <w:t xml:space="preserve">of first year’s data </w:t>
      </w:r>
      <w:r w:rsidRPr="005038D1">
        <w:rPr>
          <w:rFonts w:ascii="Times New Roman" w:hAnsi="Times New Roman" w:cs="Times New Roman"/>
          <w:sz w:val="20"/>
          <w:szCs w:val="20"/>
        </w:rPr>
        <w:t>suggest</w:t>
      </w:r>
      <w:r w:rsidR="0068484F" w:rsidRPr="005038D1">
        <w:rPr>
          <w:rFonts w:ascii="Times New Roman" w:hAnsi="Times New Roman" w:cs="Times New Roman"/>
          <w:sz w:val="20"/>
          <w:szCs w:val="20"/>
        </w:rPr>
        <w:t>s</w:t>
      </w:r>
      <w:r w:rsidRPr="005038D1">
        <w:rPr>
          <w:rFonts w:ascii="Times New Roman" w:hAnsi="Times New Roman" w:cs="Times New Roman"/>
          <w:sz w:val="20"/>
          <w:szCs w:val="20"/>
        </w:rPr>
        <w:t xml:space="preserve"> that both CPR and CPP treatments have statistically significant impact on peak load during the critical peak events of the fall 2012. The results show that CPR rate reduces peak load usage by 6.5 – 6.8 percent whereas the impact of CPP treatment rate is larger. The decrease in electricity consumption by CPP rate participants is between 5.9 and 14.7 percent during the critical peak events.</w:t>
      </w:r>
      <w:r w:rsidRPr="005038D1">
        <w:rPr>
          <w:rFonts w:ascii="Times New Roman" w:hAnsi="Times New Roman" w:cs="Times New Roman"/>
          <w:i/>
          <w:sz w:val="20"/>
          <w:szCs w:val="20"/>
        </w:rPr>
        <w:t xml:space="preserve"> </w:t>
      </w:r>
      <w:r w:rsidR="0068484F" w:rsidRPr="005038D1">
        <w:rPr>
          <w:rFonts w:ascii="Times New Roman" w:hAnsi="Times New Roman" w:cs="Times New Roman"/>
          <w:sz w:val="20"/>
          <w:szCs w:val="20"/>
        </w:rPr>
        <w:t>The persistence analysis suggest that participants respond consistently during the called emergency demand response hours. Similarly, the energy consumption analysis predicts that the information system technology reduces the monthly electricity load by 5.3 to 6.2 percent. Further analysis will be conducted after we receive the second year electricity usage data</w:t>
      </w:r>
      <w:r w:rsidRPr="005038D1">
        <w:rPr>
          <w:rFonts w:ascii="Times New Roman" w:hAnsi="Times New Roman" w:cs="Times New Roman"/>
          <w:sz w:val="20"/>
          <w:szCs w:val="20"/>
        </w:rPr>
        <w:t xml:space="preserve">. </w:t>
      </w:r>
    </w:p>
    <w:p w14:paraId="496F6609" w14:textId="77777777" w:rsidR="00177B3D" w:rsidRDefault="00177B3D">
      <w:pPr>
        <w:rPr>
          <w:rFonts w:ascii="Times New Roman" w:hAnsi="Times New Roman" w:cs="Times New Roman"/>
          <w:sz w:val="20"/>
          <w:szCs w:val="20"/>
        </w:rPr>
      </w:pPr>
    </w:p>
    <w:p w14:paraId="51AA374B" w14:textId="77777777" w:rsidR="00DD40A2" w:rsidRPr="00177B3D" w:rsidRDefault="00DD40A2">
      <w:pPr>
        <w:rPr>
          <w:rFonts w:ascii="Arial" w:hAnsi="Arial" w:cs="Arial"/>
          <w:sz w:val="24"/>
          <w:szCs w:val="24"/>
        </w:rPr>
      </w:pPr>
      <w:r w:rsidRPr="00177B3D">
        <w:rPr>
          <w:rFonts w:ascii="Arial" w:hAnsi="Arial" w:cs="Arial"/>
          <w:sz w:val="24"/>
          <w:szCs w:val="24"/>
        </w:rPr>
        <w:t xml:space="preserve">Conclusion </w:t>
      </w:r>
    </w:p>
    <w:p w14:paraId="0A1811CA" w14:textId="3FAA370D" w:rsidR="00DD40A2" w:rsidRDefault="0068484F">
      <w:pPr>
        <w:rPr>
          <w:rFonts w:ascii="Times New Roman" w:hAnsi="Times New Roman" w:cs="Times New Roman"/>
          <w:sz w:val="20"/>
          <w:szCs w:val="20"/>
        </w:rPr>
      </w:pPr>
      <w:r w:rsidRPr="005038D1">
        <w:rPr>
          <w:rFonts w:ascii="Times New Roman" w:hAnsi="Times New Roman" w:cs="Times New Roman"/>
          <w:sz w:val="20"/>
          <w:szCs w:val="20"/>
        </w:rPr>
        <w:t>The results from the first-year analysis show that incentive based demand response programs have statistically significant impact in reducing peak load in the range of 5.9 – 14.7 percent during event hours. However</w:t>
      </w:r>
      <w:r w:rsidR="0010130F" w:rsidRPr="005038D1">
        <w:rPr>
          <w:rFonts w:ascii="Times New Roman" w:hAnsi="Times New Roman" w:cs="Times New Roman"/>
          <w:sz w:val="20"/>
          <w:szCs w:val="20"/>
        </w:rPr>
        <w:t xml:space="preserve">, we cannot </w:t>
      </w:r>
      <w:r w:rsidR="005B184D" w:rsidRPr="005038D1">
        <w:rPr>
          <w:rFonts w:ascii="Times New Roman" w:hAnsi="Times New Roman" w:cs="Times New Roman"/>
          <w:sz w:val="20"/>
          <w:szCs w:val="20"/>
        </w:rPr>
        <w:t>conclude</w:t>
      </w:r>
      <w:r w:rsidR="0010130F" w:rsidRPr="005038D1">
        <w:rPr>
          <w:rFonts w:ascii="Times New Roman" w:hAnsi="Times New Roman" w:cs="Times New Roman"/>
          <w:sz w:val="20"/>
          <w:szCs w:val="20"/>
        </w:rPr>
        <w:t xml:space="preserve"> that the customers’ savings from peak load reduction </w:t>
      </w:r>
      <w:r w:rsidRPr="005038D1">
        <w:rPr>
          <w:rFonts w:ascii="Times New Roman" w:hAnsi="Times New Roman" w:cs="Times New Roman"/>
          <w:sz w:val="20"/>
          <w:szCs w:val="20"/>
        </w:rPr>
        <w:t xml:space="preserve">will </w:t>
      </w:r>
      <w:r w:rsidR="0010130F" w:rsidRPr="005038D1">
        <w:rPr>
          <w:rFonts w:ascii="Times New Roman" w:hAnsi="Times New Roman" w:cs="Times New Roman"/>
          <w:sz w:val="20"/>
          <w:szCs w:val="20"/>
        </w:rPr>
        <w:t xml:space="preserve">be sufficient to pay for the cost of </w:t>
      </w:r>
      <w:r w:rsidRPr="005038D1">
        <w:rPr>
          <w:rFonts w:ascii="Times New Roman" w:hAnsi="Times New Roman" w:cs="Times New Roman"/>
          <w:sz w:val="20"/>
          <w:szCs w:val="20"/>
        </w:rPr>
        <w:t xml:space="preserve">DR programs without </w:t>
      </w:r>
      <w:r w:rsidR="0010130F" w:rsidRPr="005038D1">
        <w:rPr>
          <w:rFonts w:ascii="Times New Roman" w:hAnsi="Times New Roman" w:cs="Times New Roman"/>
          <w:sz w:val="20"/>
          <w:szCs w:val="20"/>
        </w:rPr>
        <w:t>consider</w:t>
      </w:r>
      <w:r w:rsidRPr="005038D1">
        <w:rPr>
          <w:rFonts w:ascii="Times New Roman" w:hAnsi="Times New Roman" w:cs="Times New Roman"/>
          <w:sz w:val="20"/>
          <w:szCs w:val="20"/>
        </w:rPr>
        <w:t>ing</w:t>
      </w:r>
      <w:r w:rsidR="0010130F" w:rsidRPr="005038D1">
        <w:rPr>
          <w:rFonts w:ascii="Times New Roman" w:hAnsi="Times New Roman" w:cs="Times New Roman"/>
          <w:sz w:val="20"/>
          <w:szCs w:val="20"/>
        </w:rPr>
        <w:t xml:space="preserve"> the energy savings during non-event hours. The results suggest that participants with IHDs show larger responses </w:t>
      </w:r>
      <w:r w:rsidR="00D33493">
        <w:rPr>
          <w:rFonts w:ascii="Times New Roman" w:hAnsi="Times New Roman" w:cs="Times New Roman"/>
          <w:sz w:val="20"/>
          <w:szCs w:val="20"/>
        </w:rPr>
        <w:t xml:space="preserve">during non-event hours </w:t>
      </w:r>
      <w:r w:rsidR="0010130F" w:rsidRPr="005038D1">
        <w:rPr>
          <w:rFonts w:ascii="Times New Roman" w:hAnsi="Times New Roman" w:cs="Times New Roman"/>
          <w:sz w:val="20"/>
          <w:szCs w:val="20"/>
        </w:rPr>
        <w:t xml:space="preserve">than customers facing similar electricity rates but are not equipped with the IHDs. </w:t>
      </w:r>
      <w:r w:rsidR="00AC620F">
        <w:rPr>
          <w:rFonts w:ascii="Times New Roman" w:hAnsi="Times New Roman" w:cs="Times New Roman"/>
          <w:sz w:val="20"/>
          <w:szCs w:val="20"/>
        </w:rPr>
        <w:t>Further</w:t>
      </w:r>
      <w:r w:rsidR="005B184D" w:rsidRPr="005038D1">
        <w:rPr>
          <w:rFonts w:ascii="Times New Roman" w:hAnsi="Times New Roman" w:cs="Times New Roman"/>
          <w:sz w:val="20"/>
          <w:szCs w:val="20"/>
        </w:rPr>
        <w:t xml:space="preserve"> analysis </w:t>
      </w:r>
      <w:r w:rsidR="00AC620F">
        <w:rPr>
          <w:rFonts w:ascii="Times New Roman" w:hAnsi="Times New Roman" w:cs="Times New Roman"/>
          <w:sz w:val="20"/>
          <w:szCs w:val="20"/>
        </w:rPr>
        <w:t>needs would incorporate</w:t>
      </w:r>
      <w:r w:rsidR="005B184D" w:rsidRPr="005038D1">
        <w:rPr>
          <w:rFonts w:ascii="Times New Roman" w:hAnsi="Times New Roman" w:cs="Times New Roman"/>
          <w:sz w:val="20"/>
          <w:szCs w:val="20"/>
        </w:rPr>
        <w:t xml:space="preserve"> </w:t>
      </w:r>
      <w:r w:rsidR="0010130F" w:rsidRPr="005038D1">
        <w:rPr>
          <w:rFonts w:ascii="Times New Roman" w:hAnsi="Times New Roman" w:cs="Times New Roman"/>
          <w:sz w:val="20"/>
          <w:szCs w:val="20"/>
        </w:rPr>
        <w:t>the savings for GMP by avoiding the cost of electricity system upgrade</w:t>
      </w:r>
      <w:r w:rsidR="00AC620F">
        <w:rPr>
          <w:rFonts w:ascii="Times New Roman" w:hAnsi="Times New Roman" w:cs="Times New Roman"/>
          <w:sz w:val="20"/>
          <w:szCs w:val="20"/>
        </w:rPr>
        <w:t>s</w:t>
      </w:r>
      <w:r w:rsidR="0010130F" w:rsidRPr="005038D1">
        <w:rPr>
          <w:rFonts w:ascii="Times New Roman" w:hAnsi="Times New Roman" w:cs="Times New Roman"/>
          <w:sz w:val="20"/>
          <w:szCs w:val="20"/>
        </w:rPr>
        <w:t xml:space="preserve"> due to the potential peak load reduction</w:t>
      </w:r>
      <w:r w:rsidR="004C4478">
        <w:rPr>
          <w:rFonts w:ascii="Times New Roman" w:hAnsi="Times New Roman" w:cs="Times New Roman"/>
          <w:sz w:val="20"/>
          <w:szCs w:val="20"/>
        </w:rPr>
        <w:t>s</w:t>
      </w:r>
      <w:r w:rsidR="0010130F" w:rsidRPr="005038D1">
        <w:rPr>
          <w:rFonts w:ascii="Times New Roman" w:hAnsi="Times New Roman" w:cs="Times New Roman"/>
          <w:sz w:val="20"/>
          <w:szCs w:val="20"/>
        </w:rPr>
        <w:t>.</w:t>
      </w:r>
    </w:p>
    <w:p w14:paraId="586F282E" w14:textId="77777777" w:rsidR="004C4478" w:rsidRPr="005038D1" w:rsidRDefault="004C4478">
      <w:pPr>
        <w:rPr>
          <w:rFonts w:ascii="Times New Roman" w:hAnsi="Times New Roman" w:cs="Times New Roman"/>
          <w:sz w:val="20"/>
          <w:szCs w:val="20"/>
        </w:rPr>
      </w:pPr>
    </w:p>
    <w:p w14:paraId="3B655696" w14:textId="77777777" w:rsidR="00DD40A2" w:rsidRPr="00D7449B" w:rsidRDefault="007B03DE" w:rsidP="004C4478">
      <w:pPr>
        <w:spacing w:line="240" w:lineRule="auto"/>
        <w:rPr>
          <w:rFonts w:ascii="Arial" w:hAnsi="Arial" w:cs="Arial"/>
          <w:sz w:val="24"/>
          <w:szCs w:val="24"/>
        </w:rPr>
      </w:pPr>
      <w:r w:rsidRPr="00D7449B">
        <w:rPr>
          <w:rFonts w:ascii="Arial" w:hAnsi="Arial" w:cs="Arial"/>
          <w:sz w:val="24"/>
          <w:szCs w:val="24"/>
        </w:rPr>
        <w:t xml:space="preserve">References </w:t>
      </w:r>
    </w:p>
    <w:p w14:paraId="39B78538" w14:textId="77777777" w:rsidR="007B03DE" w:rsidRPr="005038D1" w:rsidRDefault="007B03DE" w:rsidP="005038D1">
      <w:pPr>
        <w:spacing w:after="0" w:line="240" w:lineRule="auto"/>
        <w:rPr>
          <w:rFonts w:ascii="Times New Roman" w:hAnsi="Times New Roman" w:cs="Times New Roman"/>
          <w:sz w:val="20"/>
          <w:szCs w:val="20"/>
        </w:rPr>
      </w:pPr>
      <w:proofErr w:type="spellStart"/>
      <w:r w:rsidRPr="005038D1">
        <w:rPr>
          <w:rFonts w:ascii="Times New Roman" w:hAnsi="Times New Roman" w:cs="Times New Roman"/>
          <w:sz w:val="20"/>
          <w:szCs w:val="20"/>
        </w:rPr>
        <w:t>Albadi</w:t>
      </w:r>
      <w:proofErr w:type="spellEnd"/>
      <w:r w:rsidRPr="005038D1">
        <w:rPr>
          <w:rFonts w:ascii="Times New Roman" w:hAnsi="Times New Roman" w:cs="Times New Roman"/>
          <w:sz w:val="20"/>
          <w:szCs w:val="20"/>
        </w:rPr>
        <w:t xml:space="preserve"> M. </w:t>
      </w:r>
      <w:proofErr w:type="spellStart"/>
      <w:r w:rsidRPr="005038D1">
        <w:rPr>
          <w:rFonts w:ascii="Times New Roman" w:hAnsi="Times New Roman" w:cs="Times New Roman"/>
          <w:sz w:val="20"/>
          <w:szCs w:val="20"/>
        </w:rPr>
        <w:t>H.and</w:t>
      </w:r>
      <w:proofErr w:type="spellEnd"/>
      <w:r w:rsidRPr="005038D1">
        <w:rPr>
          <w:rFonts w:ascii="Times New Roman" w:hAnsi="Times New Roman" w:cs="Times New Roman"/>
          <w:sz w:val="20"/>
          <w:szCs w:val="20"/>
        </w:rPr>
        <w:t xml:space="preserve"> El-</w:t>
      </w:r>
      <w:proofErr w:type="spellStart"/>
      <w:r w:rsidRPr="005038D1">
        <w:rPr>
          <w:rFonts w:ascii="Times New Roman" w:hAnsi="Times New Roman" w:cs="Times New Roman"/>
          <w:sz w:val="20"/>
          <w:szCs w:val="20"/>
        </w:rPr>
        <w:t>Saadany</w:t>
      </w:r>
      <w:proofErr w:type="spellEnd"/>
      <w:r w:rsidRPr="005038D1">
        <w:rPr>
          <w:rFonts w:ascii="Times New Roman" w:hAnsi="Times New Roman" w:cs="Times New Roman"/>
          <w:sz w:val="20"/>
          <w:szCs w:val="20"/>
        </w:rPr>
        <w:t xml:space="preserve"> E.F. A summary of demand response in electricity markets. </w:t>
      </w:r>
      <w:r w:rsidRPr="005038D1">
        <w:rPr>
          <w:rFonts w:ascii="Times New Roman" w:hAnsi="Times New Roman" w:cs="Times New Roman"/>
          <w:i/>
          <w:sz w:val="20"/>
          <w:szCs w:val="20"/>
        </w:rPr>
        <w:t xml:space="preserve">Electric Power Systems Research. </w:t>
      </w:r>
      <w:r w:rsidRPr="005038D1">
        <w:rPr>
          <w:rFonts w:ascii="Times New Roman" w:hAnsi="Times New Roman" w:cs="Times New Roman"/>
          <w:sz w:val="20"/>
          <w:szCs w:val="20"/>
        </w:rPr>
        <w:t xml:space="preserve">78. 1989 – 1996. </w:t>
      </w:r>
    </w:p>
    <w:p w14:paraId="507E8F2F" w14:textId="77777777" w:rsidR="007B03DE" w:rsidRPr="005038D1" w:rsidRDefault="007B03DE" w:rsidP="005038D1">
      <w:pPr>
        <w:spacing w:after="0" w:line="240" w:lineRule="auto"/>
        <w:rPr>
          <w:rFonts w:ascii="Times New Roman" w:hAnsi="Times New Roman" w:cs="Times New Roman"/>
          <w:sz w:val="20"/>
          <w:szCs w:val="20"/>
        </w:rPr>
      </w:pPr>
      <w:proofErr w:type="spellStart"/>
      <w:r w:rsidRPr="005038D1">
        <w:rPr>
          <w:rFonts w:ascii="Times New Roman" w:hAnsi="Times New Roman" w:cs="Times New Roman"/>
          <w:sz w:val="20"/>
          <w:szCs w:val="20"/>
        </w:rPr>
        <w:t>Faruqui</w:t>
      </w:r>
      <w:proofErr w:type="spellEnd"/>
      <w:r w:rsidRPr="005038D1">
        <w:rPr>
          <w:rFonts w:ascii="Times New Roman" w:hAnsi="Times New Roman" w:cs="Times New Roman"/>
          <w:sz w:val="20"/>
          <w:szCs w:val="20"/>
        </w:rPr>
        <w:t xml:space="preserve">, A. 2010. Fostering economic demand response in the Midwest ISO. </w:t>
      </w:r>
      <w:r w:rsidRPr="005038D1">
        <w:rPr>
          <w:rFonts w:ascii="Times New Roman" w:hAnsi="Times New Roman" w:cs="Times New Roman"/>
          <w:i/>
          <w:sz w:val="20"/>
          <w:szCs w:val="20"/>
        </w:rPr>
        <w:t>Energy</w:t>
      </w:r>
      <w:r w:rsidRPr="005038D1">
        <w:rPr>
          <w:rFonts w:ascii="Times New Roman" w:hAnsi="Times New Roman" w:cs="Times New Roman"/>
          <w:sz w:val="20"/>
          <w:szCs w:val="20"/>
        </w:rPr>
        <w:t xml:space="preserve">. 35. 1544 – 1552. </w:t>
      </w:r>
    </w:p>
    <w:p w14:paraId="2247CFC0" w14:textId="77777777" w:rsidR="007B03DE" w:rsidRPr="005038D1" w:rsidRDefault="007B03DE" w:rsidP="005038D1">
      <w:pPr>
        <w:spacing w:after="0" w:line="240" w:lineRule="auto"/>
        <w:rPr>
          <w:rFonts w:ascii="Times New Roman" w:hAnsi="Times New Roman" w:cs="Times New Roman"/>
          <w:sz w:val="20"/>
          <w:szCs w:val="20"/>
        </w:rPr>
      </w:pPr>
      <w:r w:rsidRPr="005038D1">
        <w:rPr>
          <w:rFonts w:ascii="Times New Roman" w:hAnsi="Times New Roman" w:cs="Times New Roman"/>
          <w:sz w:val="20"/>
          <w:szCs w:val="20"/>
        </w:rPr>
        <w:t xml:space="preserve">Herter, K. and S. Wayland. 2010. Residential response to critical-peak pricing of electricity: California evidence. </w:t>
      </w:r>
      <w:r w:rsidRPr="005038D1">
        <w:rPr>
          <w:rFonts w:ascii="Times New Roman" w:hAnsi="Times New Roman" w:cs="Times New Roman"/>
          <w:i/>
          <w:sz w:val="20"/>
          <w:szCs w:val="20"/>
        </w:rPr>
        <w:t xml:space="preserve">Energy. </w:t>
      </w:r>
      <w:r w:rsidRPr="005038D1">
        <w:rPr>
          <w:rFonts w:ascii="Times New Roman" w:hAnsi="Times New Roman" w:cs="Times New Roman"/>
          <w:sz w:val="20"/>
          <w:szCs w:val="20"/>
        </w:rPr>
        <w:t xml:space="preserve">35. 1561 – 1567. </w:t>
      </w:r>
    </w:p>
    <w:p w14:paraId="37F9ABC7" w14:textId="429A028F" w:rsidR="007B03DE" w:rsidRPr="005038D1" w:rsidRDefault="007B03DE" w:rsidP="005038D1">
      <w:pPr>
        <w:spacing w:after="0" w:line="240" w:lineRule="auto"/>
        <w:rPr>
          <w:rFonts w:ascii="Times New Roman" w:hAnsi="Times New Roman" w:cs="Times New Roman"/>
          <w:i/>
          <w:sz w:val="20"/>
          <w:szCs w:val="20"/>
        </w:rPr>
      </w:pPr>
      <w:r w:rsidRPr="005038D1">
        <w:rPr>
          <w:rFonts w:ascii="Times New Roman" w:hAnsi="Times New Roman" w:cs="Times New Roman"/>
          <w:sz w:val="20"/>
          <w:szCs w:val="20"/>
        </w:rPr>
        <w:t xml:space="preserve">King, Chris S. and S. Chatterjee. 2003. Predicting California Demand Response: How do Customer React to Hourly Prices? </w:t>
      </w:r>
      <w:r w:rsidRPr="005038D1">
        <w:rPr>
          <w:rFonts w:ascii="Times New Roman" w:hAnsi="Times New Roman" w:cs="Times New Roman"/>
          <w:i/>
          <w:sz w:val="20"/>
          <w:szCs w:val="20"/>
        </w:rPr>
        <w:t>Public Utility Fortnightly</w:t>
      </w:r>
      <w:r w:rsidRPr="005038D1">
        <w:rPr>
          <w:rFonts w:ascii="Times New Roman" w:hAnsi="Times New Roman" w:cs="Times New Roman"/>
          <w:sz w:val="20"/>
          <w:szCs w:val="20"/>
        </w:rPr>
        <w:t xml:space="preserve">. 27 – 32. </w:t>
      </w:r>
      <w:proofErr w:type="gramStart"/>
      <w:r w:rsidRPr="005038D1">
        <w:rPr>
          <w:rFonts w:ascii="Times New Roman" w:hAnsi="Times New Roman" w:cs="Times New Roman"/>
          <w:i/>
          <w:sz w:val="20"/>
          <w:szCs w:val="20"/>
        </w:rPr>
        <w:t>available</w:t>
      </w:r>
      <w:proofErr w:type="gramEnd"/>
      <w:r w:rsidRPr="005038D1">
        <w:rPr>
          <w:rFonts w:ascii="Times New Roman" w:hAnsi="Times New Roman" w:cs="Times New Roman"/>
          <w:i/>
          <w:sz w:val="20"/>
          <w:szCs w:val="20"/>
        </w:rPr>
        <w:t xml:space="preserve"> at </w:t>
      </w:r>
      <w:hyperlink r:id="rId7" w:history="1">
        <w:r w:rsidRPr="005038D1">
          <w:rPr>
            <w:rStyle w:val="Hyperlink"/>
            <w:rFonts w:ascii="Times New Roman" w:hAnsi="Times New Roman" w:cs="Times New Roman"/>
            <w:sz w:val="20"/>
            <w:szCs w:val="20"/>
          </w:rPr>
          <w:t>http://www.americanenergyinstitutes.org/research/CaDemandResponse.pdf</w:t>
        </w:r>
      </w:hyperlink>
    </w:p>
    <w:sectPr w:rsidR="007B03DE" w:rsidRPr="00503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A2"/>
    <w:rsid w:val="000223D2"/>
    <w:rsid w:val="000D7E3C"/>
    <w:rsid w:val="0010130F"/>
    <w:rsid w:val="00177B3D"/>
    <w:rsid w:val="00267F5D"/>
    <w:rsid w:val="002C0826"/>
    <w:rsid w:val="002F616B"/>
    <w:rsid w:val="00315528"/>
    <w:rsid w:val="003A73B8"/>
    <w:rsid w:val="003E68B5"/>
    <w:rsid w:val="004C4478"/>
    <w:rsid w:val="004F6E67"/>
    <w:rsid w:val="005038D1"/>
    <w:rsid w:val="00520128"/>
    <w:rsid w:val="00570641"/>
    <w:rsid w:val="00574BD2"/>
    <w:rsid w:val="005B184D"/>
    <w:rsid w:val="00674AAB"/>
    <w:rsid w:val="0068484F"/>
    <w:rsid w:val="007504ED"/>
    <w:rsid w:val="007B03DE"/>
    <w:rsid w:val="0099417A"/>
    <w:rsid w:val="00AC620F"/>
    <w:rsid w:val="00B57115"/>
    <w:rsid w:val="00BB6745"/>
    <w:rsid w:val="00BE7A7B"/>
    <w:rsid w:val="00D33493"/>
    <w:rsid w:val="00D461CA"/>
    <w:rsid w:val="00D7449B"/>
    <w:rsid w:val="00D84437"/>
    <w:rsid w:val="00DD40A2"/>
    <w:rsid w:val="00E52C2B"/>
    <w:rsid w:val="00FA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31D12"/>
  <w15:docId w15:val="{F568F067-517F-4331-8CE5-E3589FB9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3DE"/>
    <w:rPr>
      <w:color w:val="0563C1" w:themeColor="hyperlink"/>
      <w:u w:val="single"/>
    </w:rPr>
  </w:style>
  <w:style w:type="paragraph" w:styleId="BalloonText">
    <w:name w:val="Balloon Text"/>
    <w:basedOn w:val="Normal"/>
    <w:link w:val="BalloonTextChar"/>
    <w:uiPriority w:val="99"/>
    <w:semiHidden/>
    <w:unhideWhenUsed/>
    <w:rsid w:val="002F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ericanenergyinstitutes.org/research/CaDemandRespons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5203@psu.edu" TargetMode="External"/><Relationship Id="rId5" Type="http://schemas.openxmlformats.org/officeDocument/2006/relationships/hyperlink" Target="mailto:paul.hines@uvm.edu" TargetMode="External"/><Relationship Id="rId4" Type="http://schemas.openxmlformats.org/officeDocument/2006/relationships/hyperlink" Target="mailto:sethb@ps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Sabita Gautam</dc:creator>
  <cp:keywords/>
  <dc:description/>
  <cp:lastModifiedBy>Sabita Gautam</cp:lastModifiedBy>
  <cp:revision>3</cp:revision>
  <dcterms:created xsi:type="dcterms:W3CDTF">2014-01-09T19:39:00Z</dcterms:created>
  <dcterms:modified xsi:type="dcterms:W3CDTF">2014-01-09T19:39:00Z</dcterms:modified>
</cp:coreProperties>
</file>