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4D" w:rsidRDefault="0092734D" w:rsidP="0092734D">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92734D" w:rsidRPr="007711AF" w:rsidRDefault="0092734D" w:rsidP="0092734D">
      <w:pPr>
        <w:framePr w:w="10800" w:h="2142" w:hRule="exact" w:hSpace="187" w:wrap="auto" w:vAnchor="page" w:hAnchor="page" w:x="714" w:y="1085"/>
        <w:spacing w:line="360" w:lineRule="auto"/>
        <w:rPr>
          <w:b/>
          <w:sz w:val="28"/>
          <w:szCs w:val="28"/>
        </w:rPr>
      </w:pPr>
      <w:r w:rsidRPr="007711AF">
        <w:rPr>
          <w:b/>
          <w:sz w:val="28"/>
          <w:szCs w:val="28"/>
        </w:rPr>
        <w:t>WTI-Brent spread and the value of refining firms</w:t>
      </w:r>
    </w:p>
    <w:p w:rsidR="0092734D" w:rsidRPr="00D767DA" w:rsidRDefault="0092734D" w:rsidP="0092734D">
      <w:pPr>
        <w:pStyle w:val="BodyText"/>
        <w:framePr w:w="10800" w:h="2142" w:hRule="exact" w:hSpace="187" w:wrap="auto" w:vAnchor="page" w:hAnchor="page" w:x="714" w:y="1085"/>
        <w:jc w:val="right"/>
        <w:rPr>
          <w:sz w:val="20"/>
        </w:rPr>
      </w:pPr>
      <w:r w:rsidRPr="00D767DA">
        <w:rPr>
          <w:sz w:val="20"/>
        </w:rPr>
        <w:t xml:space="preserve"> [</w:t>
      </w:r>
      <w:r w:rsidR="00E33C5F">
        <w:rPr>
          <w:sz w:val="20"/>
        </w:rPr>
        <w:t xml:space="preserve">Amir </w:t>
      </w:r>
      <w:r w:rsidR="004D3BD4">
        <w:rPr>
          <w:sz w:val="20"/>
        </w:rPr>
        <w:t xml:space="preserve">H. </w:t>
      </w:r>
      <w:proofErr w:type="spellStart"/>
      <w:r w:rsidR="00E33C5F">
        <w:rPr>
          <w:sz w:val="20"/>
        </w:rPr>
        <w:t>Sabet</w:t>
      </w:r>
      <w:proofErr w:type="spellEnd"/>
      <w:r>
        <w:rPr>
          <w:sz w:val="20"/>
        </w:rPr>
        <w:t>,</w:t>
      </w:r>
      <w:r w:rsidR="00640EAB">
        <w:rPr>
          <w:sz w:val="20"/>
        </w:rPr>
        <w:t xml:space="preserve"> Doctoral Candidate,</w:t>
      </w:r>
      <w:r>
        <w:rPr>
          <w:sz w:val="20"/>
        </w:rPr>
        <w:t xml:space="preserve"> </w:t>
      </w:r>
      <w:r w:rsidR="007A123A">
        <w:rPr>
          <w:sz w:val="20"/>
        </w:rPr>
        <w:t>UWA Business School</w:t>
      </w:r>
      <w:r w:rsidRPr="00D767DA">
        <w:rPr>
          <w:sz w:val="20"/>
        </w:rPr>
        <w:t xml:space="preserve">, </w:t>
      </w:r>
      <w:r w:rsidR="00E33C5F">
        <w:rPr>
          <w:sz w:val="20"/>
        </w:rPr>
        <w:t>+61 6488 1216</w:t>
      </w:r>
      <w:r w:rsidRPr="00D767DA">
        <w:rPr>
          <w:sz w:val="20"/>
        </w:rPr>
        <w:t xml:space="preserve">, </w:t>
      </w:r>
      <w:r w:rsidR="00557415">
        <w:rPr>
          <w:sz w:val="20"/>
        </w:rPr>
        <w:t>amir.s</w:t>
      </w:r>
      <w:r w:rsidR="00E33C5F">
        <w:rPr>
          <w:sz w:val="20"/>
        </w:rPr>
        <w:t>abet@uwa.edu.au</w:t>
      </w:r>
      <w:r w:rsidRPr="00D767DA">
        <w:rPr>
          <w:sz w:val="20"/>
        </w:rPr>
        <w:t>]</w:t>
      </w:r>
    </w:p>
    <w:p w:rsidR="0092734D" w:rsidRPr="00D767DA" w:rsidRDefault="0092734D" w:rsidP="0092734D">
      <w:pPr>
        <w:pStyle w:val="BodyText"/>
        <w:framePr w:w="10800" w:h="2142" w:hRule="exact" w:hSpace="187" w:wrap="auto" w:vAnchor="page" w:hAnchor="page" w:x="714" w:y="1085"/>
        <w:jc w:val="right"/>
        <w:rPr>
          <w:sz w:val="20"/>
        </w:rPr>
      </w:pPr>
      <w:r>
        <w:rPr>
          <w:sz w:val="20"/>
        </w:rPr>
        <w:t>[</w:t>
      </w:r>
      <w:r w:rsidR="00E33C5F">
        <w:rPr>
          <w:sz w:val="20"/>
        </w:rPr>
        <w:t xml:space="preserve">Andrew Caminschi, </w:t>
      </w:r>
      <w:r w:rsidR="00640EAB">
        <w:rPr>
          <w:sz w:val="20"/>
        </w:rPr>
        <w:t xml:space="preserve">Doctoral Candidate, </w:t>
      </w:r>
      <w:r w:rsidR="00E33C5F">
        <w:rPr>
          <w:sz w:val="20"/>
        </w:rPr>
        <w:t>UWA Business School</w:t>
      </w:r>
      <w:r w:rsidR="00E33C5F" w:rsidRPr="00D767DA">
        <w:rPr>
          <w:sz w:val="20"/>
        </w:rPr>
        <w:t xml:space="preserve">, </w:t>
      </w:r>
      <w:r w:rsidR="00E33C5F">
        <w:rPr>
          <w:sz w:val="20"/>
        </w:rPr>
        <w:t xml:space="preserve">+61 6488 </w:t>
      </w:r>
      <w:r w:rsidR="00640EAB">
        <w:rPr>
          <w:sz w:val="20"/>
        </w:rPr>
        <w:t>5848</w:t>
      </w:r>
      <w:r w:rsidR="00E33C5F" w:rsidRPr="00D767DA">
        <w:rPr>
          <w:sz w:val="20"/>
        </w:rPr>
        <w:t xml:space="preserve">, </w:t>
      </w:r>
      <w:r w:rsidR="00557415">
        <w:rPr>
          <w:sz w:val="20"/>
        </w:rPr>
        <w:t>andrew.c</w:t>
      </w:r>
      <w:r w:rsidR="00E33C5F">
        <w:rPr>
          <w:sz w:val="20"/>
        </w:rPr>
        <w:t>aminschi@uwa.edu.au</w:t>
      </w:r>
      <w:r w:rsidRPr="00D767DA">
        <w:rPr>
          <w:sz w:val="20"/>
        </w:rPr>
        <w:t xml:space="preserve">] </w:t>
      </w:r>
    </w:p>
    <w:p w:rsidR="0092734D" w:rsidRDefault="0092734D" w:rsidP="0092734D">
      <w:pPr>
        <w:pStyle w:val="BodyText"/>
        <w:framePr w:w="10800" w:h="2142" w:hRule="exact" w:hSpace="187" w:wrap="auto" w:vAnchor="page" w:hAnchor="page" w:x="714" w:y="1085"/>
        <w:jc w:val="right"/>
      </w:pPr>
      <w:r w:rsidRPr="00D767DA">
        <w:rPr>
          <w:sz w:val="20"/>
        </w:rPr>
        <w:t>[</w:t>
      </w:r>
      <w:r w:rsidR="00E33C5F">
        <w:rPr>
          <w:sz w:val="20"/>
        </w:rPr>
        <w:t xml:space="preserve">Richard Heaney, </w:t>
      </w:r>
      <w:r w:rsidR="00640EAB">
        <w:rPr>
          <w:sz w:val="20"/>
        </w:rPr>
        <w:t xml:space="preserve">Professor of Finance, </w:t>
      </w:r>
      <w:r w:rsidR="00E33C5F">
        <w:rPr>
          <w:sz w:val="20"/>
        </w:rPr>
        <w:t>UWA Business School</w:t>
      </w:r>
      <w:r w:rsidR="00E33C5F" w:rsidRPr="00D767DA">
        <w:rPr>
          <w:sz w:val="20"/>
        </w:rPr>
        <w:t xml:space="preserve">, </w:t>
      </w:r>
      <w:r w:rsidR="00E33C5F">
        <w:rPr>
          <w:sz w:val="20"/>
        </w:rPr>
        <w:t xml:space="preserve">+61 6488 </w:t>
      </w:r>
      <w:r w:rsidR="00640EAB">
        <w:rPr>
          <w:sz w:val="20"/>
        </w:rPr>
        <w:t>2902</w:t>
      </w:r>
      <w:r w:rsidR="00E33C5F" w:rsidRPr="00D767DA">
        <w:rPr>
          <w:sz w:val="20"/>
        </w:rPr>
        <w:t xml:space="preserve">, </w:t>
      </w:r>
      <w:r w:rsidR="00557415">
        <w:rPr>
          <w:sz w:val="20"/>
        </w:rPr>
        <w:t>richard.h</w:t>
      </w:r>
      <w:r w:rsidR="00E33C5F">
        <w:rPr>
          <w:sz w:val="20"/>
        </w:rPr>
        <w:t>eaney@uwa.edu.au</w:t>
      </w:r>
      <w:r>
        <w:t xml:space="preserve">] </w:t>
      </w:r>
    </w:p>
    <w:p w:rsidR="0092734D" w:rsidRPr="00D767DA" w:rsidRDefault="00E33C5F" w:rsidP="00244D7F">
      <w:pPr>
        <w:pStyle w:val="BodyText2"/>
        <w:framePr w:w="10800" w:h="2142" w:hRule="exact" w:hSpace="187" w:wrap="auto" w:vAnchor="page" w:hAnchor="page" w:x="714" w:y="1085"/>
        <w:spacing w:after="200"/>
        <w:ind w:left="6480" w:firstLine="720"/>
        <w:jc w:val="center"/>
        <w:rPr>
          <w:i/>
        </w:rPr>
      </w:pPr>
      <w:r>
        <w:t xml:space="preserve"> </w:t>
      </w:r>
    </w:p>
    <w:p w:rsidR="0092734D" w:rsidRDefault="0092734D" w:rsidP="0092734D">
      <w:pPr>
        <w:pStyle w:val="copyright"/>
      </w:pPr>
    </w:p>
    <w:p w:rsidR="0092734D" w:rsidRPr="00476853" w:rsidRDefault="0092734D" w:rsidP="0092734D">
      <w:pPr>
        <w:pStyle w:val="Heading2"/>
        <w:ind w:left="-810" w:firstLine="810"/>
        <w:rPr>
          <w:i w:val="0"/>
          <w:sz w:val="24"/>
          <w:szCs w:val="24"/>
        </w:rPr>
      </w:pPr>
      <w:r w:rsidRPr="00476853">
        <w:rPr>
          <w:i w:val="0"/>
          <w:sz w:val="24"/>
          <w:szCs w:val="24"/>
        </w:rPr>
        <w:t>Overview</w:t>
      </w:r>
    </w:p>
    <w:p w:rsidR="0092734D" w:rsidRDefault="0092734D" w:rsidP="0092734D">
      <w:pPr>
        <w:jc w:val="both"/>
      </w:pPr>
      <w:r w:rsidRPr="005C4B40">
        <w:t xml:space="preserve">The varying difference in price </w:t>
      </w:r>
      <w:r w:rsidR="005B5557">
        <w:t>of</w:t>
      </w:r>
      <w:r w:rsidR="005B5557" w:rsidRPr="005C4B40">
        <w:t xml:space="preserve"> </w:t>
      </w:r>
      <w:r w:rsidR="003941B4">
        <w:t>West Texas Intermediate (</w:t>
      </w:r>
      <w:r w:rsidRPr="005C4B40">
        <w:t>WTI</w:t>
      </w:r>
      <w:r w:rsidR="003941B4">
        <w:t>)</w:t>
      </w:r>
      <w:r w:rsidRPr="005C4B40">
        <w:t xml:space="preserve"> and </w:t>
      </w:r>
      <w:r w:rsidR="003941B4">
        <w:t xml:space="preserve">European </w:t>
      </w:r>
      <w:r w:rsidRPr="005C4B40">
        <w:t>Brent crude</w:t>
      </w:r>
      <w:r w:rsidR="003941B4">
        <w:t xml:space="preserve"> (Brent)</w:t>
      </w:r>
      <w:r w:rsidRPr="005C4B40">
        <w:t xml:space="preserve"> oil has drawn t</w:t>
      </w:r>
      <w:r w:rsidR="005B5557">
        <w:t>he</w:t>
      </w:r>
      <w:r w:rsidRPr="005C4B40">
        <w:t xml:space="preserve"> attention of investors, regulators and policy makers over the past few years.  As both commodities deliver in essence the some consumer benefit, the economic theory of substitution suggests that the prices for these should converge to some equilibrium</w:t>
      </w:r>
      <w:r>
        <w:t xml:space="preserve"> (ignoring </w:t>
      </w:r>
      <w:r w:rsidR="009450B8">
        <w:t>transportation</w:t>
      </w:r>
      <w:r>
        <w:t xml:space="preserve"> costs)</w:t>
      </w:r>
      <w:r w:rsidRPr="005C4B40">
        <w:t xml:space="preserve">. The past </w:t>
      </w:r>
      <w:r w:rsidR="00037EDA">
        <w:t>six years</w:t>
      </w:r>
      <w:r w:rsidRPr="005C4B40">
        <w:t xml:space="preserve"> has, however, witnessed large fluctuations in the spread of these two commodity prices, ranging from –</w:t>
      </w:r>
      <w:r w:rsidR="005B5557">
        <w:t>$</w:t>
      </w:r>
      <w:r w:rsidR="00037EDA">
        <w:t>27</w:t>
      </w:r>
      <w:r w:rsidR="005B5557">
        <w:t>.00</w:t>
      </w:r>
      <w:r w:rsidRPr="005C4B40">
        <w:t xml:space="preserve"> to +</w:t>
      </w:r>
      <w:r w:rsidR="005B5557">
        <w:t>$</w:t>
      </w:r>
      <w:r w:rsidR="00037EDA">
        <w:t>5</w:t>
      </w:r>
      <w:r w:rsidR="005B5557">
        <w:t>.00</w:t>
      </w:r>
      <w:r w:rsidRPr="005C4B40">
        <w:t>.</w:t>
      </w:r>
      <w:r w:rsidR="00C34DB3">
        <w:t xml:space="preserve"> </w:t>
      </w:r>
    </w:p>
    <w:p w:rsidR="007A123A" w:rsidRPr="005C4B40" w:rsidRDefault="007A123A" w:rsidP="0092734D">
      <w:pPr>
        <w:jc w:val="both"/>
      </w:pPr>
    </w:p>
    <w:p w:rsidR="00C34DB3" w:rsidRDefault="0092734D" w:rsidP="0092734D">
      <w:pPr>
        <w:jc w:val="both"/>
      </w:pPr>
      <w:r w:rsidRPr="005C4B40">
        <w:t>One of the key factors driving this spread is the limited storage in Cushing, Oklahoma</w:t>
      </w:r>
      <w:r w:rsidR="00AC04B2">
        <w:t xml:space="preserve"> </w:t>
      </w:r>
      <w:r w:rsidR="00AC04B2">
        <w:fldChar w:fldCharType="begin"/>
      </w:r>
      <w:r w:rsidR="00AC04B2">
        <w:instrText xml:space="preserve"> ADDIN EN.CITE &lt;EndNote&gt;&lt;Cite&gt;&lt;Author&gt;Büyükşahin&lt;/Author&gt;&lt;Year&gt;2013&lt;/Year&gt;&lt;RecNum&gt;681&lt;/RecNum&gt;&lt;DisplayText&gt;(Büyükşahin&lt;style face="italic"&gt; et al.&lt;/style&gt; 2013)&lt;/DisplayText&gt;&lt;record&gt;&lt;rec-number&gt;681&lt;/rec-number&gt;&lt;foreign-keys&gt;&lt;key app="EN" db-id="vspp090vlzsft1eadsvprpdxts2a00z2vddt"&gt;681&lt;/key&gt;&lt;/foreign-keys&gt;&lt;ref-type name="Journal Article"&gt;17&lt;/ref-type&gt;&lt;contributors&gt;&lt;authors&gt;&lt;author&gt;Büyükşahin, Bahattin&lt;/author&gt;&lt;author&gt;Lee, Thomas K&lt;/author&gt;&lt;author&gt;Moser, James T&lt;/author&gt;&lt;author&gt;Robe, Michel A&lt;/author&gt;&lt;/authors&gt;&lt;/contributors&gt;&lt;titles&gt;&lt;title&gt;Physical Markets, Paper Markets and the WTI-Brent Spread&lt;/title&gt;&lt;secondary-title&gt;Energy Journal&lt;/secondary-title&gt;&lt;/titles&gt;&lt;periodical&gt;&lt;full-title&gt;Energy Journal&lt;/full-title&gt;&lt;/periodical&gt;&lt;volume&gt;34&lt;/volume&gt;&lt;number&gt;3&lt;/number&gt;&lt;dates&gt;&lt;year&gt;2013&lt;/year&gt;&lt;/dates&gt;&lt;isbn&gt;0195-6574&lt;/isbn&gt;&lt;urls&gt;&lt;/urls&gt;&lt;/record&gt;&lt;/Cite&gt;&lt;/EndNote&gt;</w:instrText>
      </w:r>
      <w:r w:rsidR="00AC04B2">
        <w:fldChar w:fldCharType="separate"/>
      </w:r>
      <w:r w:rsidR="00AC04B2">
        <w:rPr>
          <w:noProof/>
        </w:rPr>
        <w:t>(</w:t>
      </w:r>
      <w:hyperlink w:anchor="_ENREF_1" w:tooltip="Büyükşahin, 2013 #681" w:history="1">
        <w:r w:rsidR="00E33C5F">
          <w:rPr>
            <w:noProof/>
          </w:rPr>
          <w:t>Büyükşahin</w:t>
        </w:r>
        <w:r w:rsidR="00E33C5F" w:rsidRPr="00AC04B2">
          <w:rPr>
            <w:i/>
            <w:noProof/>
          </w:rPr>
          <w:t xml:space="preserve"> et al.</w:t>
        </w:r>
        <w:r w:rsidR="00E33C5F">
          <w:rPr>
            <w:noProof/>
          </w:rPr>
          <w:t xml:space="preserve"> 2013</w:t>
        </w:r>
      </w:hyperlink>
      <w:r w:rsidR="00AC04B2">
        <w:rPr>
          <w:noProof/>
        </w:rPr>
        <w:t>)</w:t>
      </w:r>
      <w:r w:rsidR="00AC04B2">
        <w:fldChar w:fldCharType="end"/>
      </w:r>
      <w:r w:rsidRPr="005C4B40">
        <w:t xml:space="preserve"> – a key supply basin for US crude. Uniquely situated to exploit this opportunity are the U</w:t>
      </w:r>
      <w:r w:rsidR="00470742">
        <w:t>.</w:t>
      </w:r>
      <w:r w:rsidRPr="005C4B40">
        <w:t>S</w:t>
      </w:r>
      <w:r w:rsidR="00470742">
        <w:t>.</w:t>
      </w:r>
      <w:r w:rsidRPr="005C4B40">
        <w:t xml:space="preserve"> based oil refiners. While t</w:t>
      </w:r>
      <w:r w:rsidR="005168D5">
        <w:t>heir final product (heating oil,</w:t>
      </w:r>
      <w:r w:rsidRPr="005C4B40">
        <w:t xml:space="preserve"> unleaded gasoline</w:t>
      </w:r>
      <w:r w:rsidR="005168D5">
        <w:t xml:space="preserve"> &amp; di</w:t>
      </w:r>
      <w:r w:rsidR="005B5557">
        <w:t>e</w:t>
      </w:r>
      <w:r w:rsidR="005168D5">
        <w:t>sel</w:t>
      </w:r>
      <w:r w:rsidRPr="005C4B40">
        <w:t>) is fungible with those of foreign refiners, they have two readily available inputs to draw on – locally sourced WTI or imported Brent.</w:t>
      </w:r>
      <w:r w:rsidR="00470742">
        <w:t xml:space="preserve"> </w:t>
      </w:r>
      <w:r w:rsidR="005B5557">
        <w:t>If equity markets are efficient</w:t>
      </w:r>
      <w:r w:rsidRPr="005C4B40">
        <w:t xml:space="preserve"> </w:t>
      </w:r>
      <w:r w:rsidR="005B5557">
        <w:t xml:space="preserve">then </w:t>
      </w:r>
      <w:r w:rsidRPr="005C4B40">
        <w:t xml:space="preserve">when WTI is trading at a material discount to Brent, US refiners should experience periods of elevated profitability, which in turn should be reflected in higher </w:t>
      </w:r>
      <w:r w:rsidR="005B5557">
        <w:t xml:space="preserve">refiner </w:t>
      </w:r>
      <w:r w:rsidRPr="005C4B40">
        <w:t xml:space="preserve">equity </w:t>
      </w:r>
      <w:r w:rsidR="005B5557">
        <w:t>return</w:t>
      </w:r>
      <w:r w:rsidR="005B5557" w:rsidRPr="005C4B40">
        <w:t>s</w:t>
      </w:r>
      <w:r w:rsidRPr="005C4B40">
        <w:t>.</w:t>
      </w:r>
      <w:r w:rsidR="00C34DB3">
        <w:t xml:space="preserve"> </w:t>
      </w:r>
      <w:r w:rsidR="001F239B">
        <w:t>Further</w:t>
      </w:r>
      <w:r w:rsidR="00470742">
        <w:t xml:space="preserve">, </w:t>
      </w:r>
      <w:r w:rsidR="005B5557">
        <w:t xml:space="preserve">the </w:t>
      </w:r>
      <w:r w:rsidR="00470742">
        <w:t xml:space="preserve">International Energy Agency (IEA) reported that 16 major </w:t>
      </w:r>
      <w:r w:rsidR="00B07F2D">
        <w:t>E</w:t>
      </w:r>
      <w:r w:rsidR="00470742">
        <w:t xml:space="preserve">uropean refineries will be shut down in 2014 as </w:t>
      </w:r>
      <w:r w:rsidR="005B5557">
        <w:t xml:space="preserve">these </w:t>
      </w:r>
      <w:r w:rsidR="00470742">
        <w:t xml:space="preserve">refiners are acquiring crude oil based on the price of </w:t>
      </w:r>
      <w:r w:rsidR="005B5557">
        <w:t xml:space="preserve">the generally more </w:t>
      </w:r>
      <w:r w:rsidR="00470742">
        <w:t>expensive Brent crude oil.</w:t>
      </w:r>
    </w:p>
    <w:p w:rsidR="007A123A" w:rsidRPr="005C4B40" w:rsidRDefault="007A123A" w:rsidP="0092734D">
      <w:pPr>
        <w:jc w:val="both"/>
      </w:pPr>
    </w:p>
    <w:p w:rsidR="0092734D" w:rsidRPr="005C4B40" w:rsidRDefault="0092734D" w:rsidP="0092734D">
      <w:pPr>
        <w:jc w:val="both"/>
      </w:pPr>
      <w:r w:rsidRPr="005C4B40">
        <w:t>This paper examines the relation between the WTI-Brent spread and the value of US oil refining firms. We use the S&amp;P 500 Oil Refining</w:t>
      </w:r>
      <w:r w:rsidR="00AA1F3E">
        <w:t xml:space="preserve"> and Marketing</w:t>
      </w:r>
      <w:r w:rsidRPr="005C4B40">
        <w:t xml:space="preserve"> </w:t>
      </w:r>
      <w:r w:rsidR="00AA1F3E">
        <w:t>I</w:t>
      </w:r>
      <w:r w:rsidRPr="005C4B40">
        <w:t>ndex (</w:t>
      </w:r>
      <w:r w:rsidR="005C2EA5" w:rsidRPr="005C2EA5">
        <w:t>SP5SOGR</w:t>
      </w:r>
      <w:r w:rsidRPr="005C4B40">
        <w:t>) as a proxy for value of these firms and</w:t>
      </w:r>
      <w:r w:rsidR="00AA1F3E">
        <w:t xml:space="preserve"> analyse</w:t>
      </w:r>
      <w:r w:rsidRPr="005C4B40">
        <w:t xml:space="preserve"> the effects </w:t>
      </w:r>
      <w:r w:rsidR="005B5557">
        <w:t xml:space="preserve">of the </w:t>
      </w:r>
      <w:r w:rsidRPr="005C4B40">
        <w:t xml:space="preserve">WTI-Brent spread while controlling for other </w:t>
      </w:r>
      <w:r w:rsidR="005B5557">
        <w:t>explanatory</w:t>
      </w:r>
      <w:r w:rsidR="005B5557" w:rsidRPr="005C4B40">
        <w:t xml:space="preserve"> </w:t>
      </w:r>
      <w:r w:rsidRPr="005C4B40">
        <w:t>factors including</w:t>
      </w:r>
      <w:r w:rsidR="005B5557">
        <w:t>,</w:t>
      </w:r>
      <w:r w:rsidRPr="005C4B40">
        <w:t xml:space="preserve"> Mid-West </w:t>
      </w:r>
      <w:r w:rsidR="003941B4">
        <w:t>ending</w:t>
      </w:r>
      <w:r w:rsidRPr="005C4B40">
        <w:t xml:space="preserve"> </w:t>
      </w:r>
      <w:r w:rsidR="003941B4">
        <w:t xml:space="preserve">stocks </w:t>
      </w:r>
      <w:r w:rsidRPr="005C4B40">
        <w:t>levels, the crack spread, and macro</w:t>
      </w:r>
      <w:r w:rsidR="005B5557">
        <w:t>-</w:t>
      </w:r>
      <w:r w:rsidRPr="005C4B40">
        <w:t xml:space="preserve">factors including interest rate, exchange rate (US/Euro) </w:t>
      </w:r>
      <w:r w:rsidR="005B5557">
        <w:t>and general</w:t>
      </w:r>
      <w:r w:rsidR="005B5557" w:rsidRPr="005C4B40">
        <w:t xml:space="preserve"> </w:t>
      </w:r>
      <w:r w:rsidRPr="005C4B40">
        <w:t xml:space="preserve">equity market </w:t>
      </w:r>
      <w:proofErr w:type="gramStart"/>
      <w:r w:rsidRPr="005C4B40">
        <w:t>returns</w:t>
      </w:r>
      <w:proofErr w:type="gramEnd"/>
      <w:r w:rsidRPr="005C4B40">
        <w:t>.</w:t>
      </w:r>
    </w:p>
    <w:p w:rsidR="0092734D" w:rsidRDefault="0092734D" w:rsidP="0092734D">
      <w:pPr>
        <w:pStyle w:val="Heading2"/>
        <w:rPr>
          <w:i w:val="0"/>
          <w:sz w:val="24"/>
          <w:szCs w:val="24"/>
        </w:rPr>
      </w:pPr>
      <w:r w:rsidRPr="00D767DA">
        <w:rPr>
          <w:i w:val="0"/>
          <w:sz w:val="24"/>
          <w:szCs w:val="24"/>
        </w:rPr>
        <w:t>Methods</w:t>
      </w:r>
    </w:p>
    <w:p w:rsidR="0092734D" w:rsidRDefault="0092734D" w:rsidP="0092734D">
      <w:pPr>
        <w:jc w:val="both"/>
      </w:pPr>
      <w:r w:rsidRPr="00884052">
        <w:t xml:space="preserve">The weekly time series data </w:t>
      </w:r>
      <w:r>
        <w:t xml:space="preserve">for each Friday </w:t>
      </w:r>
      <w:r w:rsidRPr="00884052">
        <w:t xml:space="preserve">is </w:t>
      </w:r>
      <w:r>
        <w:t>collected</w:t>
      </w:r>
      <w:r w:rsidRPr="00884052">
        <w:t xml:space="preserve"> </w:t>
      </w:r>
      <w:r w:rsidR="005C2EA5">
        <w:t>via</w:t>
      </w:r>
      <w:r w:rsidRPr="00884052">
        <w:t xml:space="preserve"> </w:t>
      </w:r>
      <w:r>
        <w:t>numerous sources from the first week of Jan</w:t>
      </w:r>
      <w:r w:rsidR="006C16C8">
        <w:t>uary</w:t>
      </w:r>
      <w:r>
        <w:t xml:space="preserve"> 2006 to </w:t>
      </w:r>
      <w:r w:rsidR="006C16C8">
        <w:t>the</w:t>
      </w:r>
      <w:r>
        <w:t xml:space="preserve"> third week of</w:t>
      </w:r>
      <w:r w:rsidR="00AA1F3E">
        <w:t xml:space="preserve"> </w:t>
      </w:r>
      <w:r>
        <w:t>Dec</w:t>
      </w:r>
      <w:r w:rsidR="006C16C8">
        <w:t>ember</w:t>
      </w:r>
      <w:r>
        <w:t xml:space="preserve"> 2013. The WTI and Brent crude oil price data (closest to maturity futures cont</w:t>
      </w:r>
      <w:r w:rsidR="003941B4">
        <w:t xml:space="preserve">ract) </w:t>
      </w:r>
      <w:r w:rsidR="00AA1F3E">
        <w:t xml:space="preserve">are </w:t>
      </w:r>
      <w:r w:rsidR="003941B4">
        <w:t xml:space="preserve">obtained from Bloomberg. </w:t>
      </w:r>
      <w:r>
        <w:t xml:space="preserve">Midwest </w:t>
      </w:r>
      <w:r w:rsidR="003941B4">
        <w:t>ending stock</w:t>
      </w:r>
      <w:r>
        <w:t xml:space="preserve"> </w:t>
      </w:r>
      <w:r w:rsidR="003941B4">
        <w:t xml:space="preserve">level </w:t>
      </w:r>
      <w:r>
        <w:t>data</w:t>
      </w:r>
      <w:r w:rsidR="003941B4">
        <w:t xml:space="preserve"> (PADD2 district)</w:t>
      </w:r>
      <w:r>
        <w:t xml:space="preserve"> </w:t>
      </w:r>
      <w:proofErr w:type="gramStart"/>
      <w:r>
        <w:t>are</w:t>
      </w:r>
      <w:proofErr w:type="gramEnd"/>
      <w:r>
        <w:t xml:space="preserve"> obtained from the U.S. Energy Information Administration website (EIA). It should be noted that Cushing </w:t>
      </w:r>
      <w:r w:rsidR="003941B4">
        <w:t>stock level data</w:t>
      </w:r>
      <w:r>
        <w:t xml:space="preserve"> is included in Midwest </w:t>
      </w:r>
      <w:r w:rsidR="003941B4">
        <w:t>stock</w:t>
      </w:r>
      <w:r>
        <w:t xml:space="preserve"> data. Interest rate, exchange rate and equity market returns are obtained from Thompson Reuters </w:t>
      </w:r>
      <w:proofErr w:type="spellStart"/>
      <w:r>
        <w:t>Datastream</w:t>
      </w:r>
      <w:proofErr w:type="spellEnd"/>
      <w:r>
        <w:t xml:space="preserve">. The S&amp;P 500 return is used as a proxy for </w:t>
      </w:r>
      <w:r w:rsidR="006C16C8">
        <w:t xml:space="preserve">general equity </w:t>
      </w:r>
      <w:r>
        <w:t>market return</w:t>
      </w:r>
      <w:r w:rsidR="006C16C8">
        <w:t>s</w:t>
      </w:r>
      <w:r>
        <w:t xml:space="preserve">. The four weeks U.S. treasury bill </w:t>
      </w:r>
      <w:proofErr w:type="spellStart"/>
      <w:r w:rsidR="006C16C8">
        <w:t>provies</w:t>
      </w:r>
      <w:proofErr w:type="spellEnd"/>
      <w:r>
        <w:t xml:space="preserve"> a proxy for interest rate. The USD/Euro</w:t>
      </w:r>
      <w:r w:rsidR="006C16C8">
        <w:t xml:space="preserve"> exchange rate is included to capture exchange rate effects</w:t>
      </w:r>
      <w:r>
        <w:t xml:space="preserve">. </w:t>
      </w:r>
      <w:r w:rsidR="006C16C8">
        <w:t>Consistent with the literature we include the</w:t>
      </w:r>
      <w:r w:rsidR="00F876D8">
        <w:t xml:space="preserve"> crack spread as an output</w:t>
      </w:r>
      <w:r w:rsidR="005C2EA5">
        <w:t xml:space="preserve"> and </w:t>
      </w:r>
      <w:r w:rsidR="00B07F2D" w:rsidRPr="00E40EC2">
        <w:t xml:space="preserve">profitability </w:t>
      </w:r>
      <w:r w:rsidR="005C2EA5">
        <w:t xml:space="preserve">measure </w:t>
      </w:r>
      <w:r w:rsidR="00F876D8">
        <w:t xml:space="preserve">for refinery firms </w:t>
      </w:r>
      <w:r w:rsidR="00F876D8">
        <w:fldChar w:fldCharType="begin"/>
      </w:r>
      <w:r w:rsidR="00F876D8">
        <w:instrText xml:space="preserve"> ADDIN EN.CITE &lt;EndNote&gt;&lt;Cite&gt;&lt;Author&gt;Dunne&lt;/Author&gt;&lt;Year&gt;2010&lt;/Year&gt;&lt;RecNum&gt;586&lt;/RecNum&gt;&lt;DisplayText&gt;(Dunne &amp;amp; Mu 2010)&lt;/DisplayText&gt;&lt;record&gt;&lt;rec-number&gt;586&lt;/rec-number&gt;&lt;foreign-keys&gt;&lt;key app="EN" db-id="vspp090vlzsft1eadsvprpdxts2a00z2vddt"&gt;586&lt;/key&gt;&lt;/foreign-keys&gt;&lt;ref-type name="Journal Article"&gt;17&lt;/ref-type&gt;&lt;contributors&gt;&lt;authors&gt;&lt;author&gt;Dunne, TImothy&lt;/author&gt;&lt;author&gt;Mu, Xiaoyi&lt;/author&gt;&lt;/authors&gt;&lt;/contributors&gt;&lt;titles&gt;&lt;title&gt;Investment Spikes and Uncertainty in the Petroleum Refining Industry&lt;/title&gt;&lt;secondary-title&gt;The Journal of Industrial Economics&lt;/secondary-title&gt;&lt;/titles&gt;&lt;periodical&gt;&lt;full-title&gt;The Journal of Industrial Economics&lt;/full-title&gt;&lt;/periodical&gt;&lt;pages&gt;190-213&lt;/pages&gt;&lt;volume&gt;58&lt;/volume&gt;&lt;number&gt;1&lt;/number&gt;&lt;dates&gt;&lt;year&gt;2010&lt;/year&gt;&lt;/dates&gt;&lt;isbn&gt;1467-6451&lt;/isbn&gt;&lt;urls&gt;&lt;/urls&gt;&lt;/record&gt;&lt;/Cite&gt;&lt;/EndNote&gt;</w:instrText>
      </w:r>
      <w:r w:rsidR="00F876D8">
        <w:fldChar w:fldCharType="separate"/>
      </w:r>
      <w:r w:rsidR="00F876D8">
        <w:rPr>
          <w:noProof/>
        </w:rPr>
        <w:t>(</w:t>
      </w:r>
      <w:hyperlink w:anchor="_ENREF_2" w:tooltip="Dunne, 2010 #586" w:history="1">
        <w:r w:rsidR="00E33C5F">
          <w:rPr>
            <w:noProof/>
          </w:rPr>
          <w:t>Dunne &amp; Mu 2010</w:t>
        </w:r>
      </w:hyperlink>
      <w:r w:rsidR="00F876D8">
        <w:rPr>
          <w:noProof/>
        </w:rPr>
        <w:t>)</w:t>
      </w:r>
      <w:r w:rsidR="00F876D8">
        <w:fldChar w:fldCharType="end"/>
      </w:r>
      <w:r w:rsidR="00F876D8">
        <w:t xml:space="preserve">. </w:t>
      </w:r>
    </w:p>
    <w:p w:rsidR="007A123A" w:rsidRDefault="007A123A" w:rsidP="0092734D">
      <w:pPr>
        <w:jc w:val="both"/>
      </w:pPr>
    </w:p>
    <w:p w:rsidR="00AC04B2" w:rsidRDefault="0092734D" w:rsidP="0092734D">
      <w:pPr>
        <w:jc w:val="both"/>
      </w:pPr>
      <w:r>
        <w:t xml:space="preserve">In this study, we </w:t>
      </w:r>
      <w:r w:rsidR="003B09C0">
        <w:t>rely on</w:t>
      </w:r>
      <w:r>
        <w:t xml:space="preserve"> regression analysis to examine the </w:t>
      </w:r>
      <w:r w:rsidR="005C2EA5">
        <w:t>relation</w:t>
      </w:r>
      <w:r>
        <w:t xml:space="preserve"> between equity returns of oil refinery firms in U.S. and WTI</w:t>
      </w:r>
      <w:r w:rsidR="003B09C0">
        <w:t>-</w:t>
      </w:r>
      <w:r>
        <w:t xml:space="preserve">Brent spread. Following the standard practice in the literature </w:t>
      </w:r>
      <w:r>
        <w:fldChar w:fldCharType="begin"/>
      </w:r>
      <w:r>
        <w:instrText xml:space="preserve"> ADDIN EN.CITE &lt;EndNote&gt;&lt;Cite&gt;&lt;Author&gt;Fattouh&lt;/Author&gt;&lt;Year&gt;2010&lt;/Year&gt;&lt;RecNum&gt;680&lt;/RecNum&gt;&lt;DisplayText&gt;(Fattouh 2010)&lt;/DisplayText&gt;&lt;record&gt;&lt;rec-number&gt;680&lt;/rec-number&gt;&lt;foreign-keys&gt;&lt;key app="EN" db-id="vspp090vlzsft1eadsvprpdxts2a00z2vddt"&gt;680&lt;/key&gt;&lt;/foreign-keys&gt;&lt;ref-type name="Journal Article"&gt;17&lt;/ref-type&gt;&lt;contributors&gt;&lt;authors&gt;&lt;author&gt;Fattouh, Bassam&lt;/author&gt;&lt;/authors&gt;&lt;/contributors&gt;&lt;titles&gt;&lt;title&gt;The dynamics of crude oil price differentials&lt;/title&gt;&lt;secondary-title&gt;Energy Economics&lt;/secondary-title&gt;&lt;/titles&gt;&lt;periodical&gt;&lt;full-title&gt;Energy Economics&lt;/full-title&gt;&lt;/periodical&gt;&lt;pages&gt;334-342&lt;/pages&gt;&lt;volume&gt;32&lt;/volume&gt;&lt;number&gt;2&lt;/number&gt;&lt;keywords&gt;&lt;keyword&gt;Crude oil price differentials&lt;/keyword&gt;&lt;keyword&gt;Threshold effects&lt;/keyword&gt;&lt;keyword&gt;Stationarity&lt;/keyword&gt;&lt;keyword&gt;Partial unit root&lt;/keyword&gt;&lt;/keywords&gt;&lt;dates&gt;&lt;year&gt;2010&lt;/year&gt;&lt;pub-dates&gt;&lt;date&gt;3//&lt;/date&gt;&lt;/pub-dates&gt;&lt;/dates&gt;&lt;isbn&gt;0140-9883&lt;/isbn&gt;&lt;urls&gt;&lt;related-urls&gt;&lt;url&gt;http://www.sciencedirect.com/science/article/pii/S0140988309000978&lt;/url&gt;&lt;/related-urls&gt;&lt;/urls&gt;&lt;electronic-resource-num&gt;http://dx.doi.org/10.1016/j.eneco.2009.06.007&lt;/electronic-resource-num&gt;&lt;/record&gt;&lt;/Cite&gt;&lt;/EndNote&gt;</w:instrText>
      </w:r>
      <w:r>
        <w:fldChar w:fldCharType="separate"/>
      </w:r>
      <w:r>
        <w:rPr>
          <w:noProof/>
        </w:rPr>
        <w:t>(</w:t>
      </w:r>
      <w:hyperlink w:anchor="_ENREF_3" w:tooltip="Fattouh, 2010 #680" w:history="1">
        <w:r w:rsidR="00E33C5F">
          <w:rPr>
            <w:noProof/>
          </w:rPr>
          <w:t>Fattouh 2010</w:t>
        </w:r>
      </w:hyperlink>
      <w:r>
        <w:rPr>
          <w:noProof/>
        </w:rPr>
        <w:t>)</w:t>
      </w:r>
      <w:r>
        <w:fldChar w:fldCharType="end"/>
      </w:r>
      <w:r>
        <w:t xml:space="preserve">, </w:t>
      </w:r>
      <w:r w:rsidR="003B09C0">
        <w:t xml:space="preserve">the </w:t>
      </w:r>
      <w:r>
        <w:t>WTI</w:t>
      </w:r>
      <w:r w:rsidR="003B09C0">
        <w:t>-</w:t>
      </w:r>
      <w:r>
        <w:t xml:space="preserve">Brent price differential (spread) </w:t>
      </w:r>
      <w:r w:rsidR="003B09C0">
        <w:t>is defined as</w:t>
      </w:r>
      <w:r>
        <w:t>:</w:t>
      </w:r>
    </w:p>
    <w:p w:rsidR="00AC04B2" w:rsidRDefault="00AC04B2" w:rsidP="0092734D">
      <w:pPr>
        <w:jc w:val="both"/>
      </w:pPr>
    </w:p>
    <w:p w:rsidR="00AC04B2" w:rsidRDefault="0092734D" w:rsidP="0092734D">
      <w:pPr>
        <w:jc w:val="both"/>
      </w:pPr>
      <w:proofErr w:type="spellStart"/>
      <w:r>
        <w:t>W</w:t>
      </w:r>
      <w:r w:rsidRPr="0092734D">
        <w:t>TIB</w:t>
      </w:r>
      <w:r w:rsidR="003B09C0">
        <w:t>rent</w:t>
      </w:r>
      <w:proofErr w:type="spellEnd"/>
      <w:r w:rsidRPr="0092734D">
        <w:t xml:space="preserve"> Spread= </w:t>
      </w:r>
      <w:proofErr w:type="gramStart"/>
      <w:r w:rsidRPr="0092734D">
        <w:t>LN(</w:t>
      </w:r>
      <w:proofErr w:type="gramEnd"/>
      <w:r w:rsidRPr="0092734D">
        <w:t>WTI)-LN(Brent)</w:t>
      </w:r>
      <w:r>
        <w:t>.</w:t>
      </w:r>
      <w:r w:rsidR="00982392">
        <w:tab/>
      </w:r>
      <w:r w:rsidR="00982392">
        <w:tab/>
      </w:r>
      <w:r w:rsidR="00982392">
        <w:tab/>
      </w:r>
      <w:r w:rsidR="009450B8">
        <w:t xml:space="preserve"> </w:t>
      </w:r>
      <w:r w:rsidR="009450B8">
        <w:tab/>
      </w:r>
      <w:r w:rsidR="00982392">
        <w:tab/>
      </w:r>
      <w:r w:rsidR="00982392">
        <w:tab/>
      </w:r>
      <w:r w:rsidR="00982392">
        <w:tab/>
      </w:r>
      <w:r w:rsidR="00982392">
        <w:tab/>
      </w:r>
      <w:r w:rsidR="00AC04B2">
        <w:t>(1)</w:t>
      </w:r>
    </w:p>
    <w:p w:rsidR="00AC04B2" w:rsidRDefault="0092734D" w:rsidP="0092734D">
      <w:pPr>
        <w:jc w:val="both"/>
      </w:pPr>
      <w:r w:rsidRPr="0092734D">
        <w:tab/>
      </w:r>
      <w:r w:rsidRPr="0092734D">
        <w:tab/>
      </w:r>
      <w:r>
        <w:tab/>
      </w:r>
      <w:r w:rsidRPr="0092734D">
        <w:tab/>
      </w:r>
    </w:p>
    <w:p w:rsidR="009450B8" w:rsidRDefault="0092734D" w:rsidP="00AC04B2">
      <w:pPr>
        <w:jc w:val="both"/>
      </w:pPr>
      <w:r>
        <w:t xml:space="preserve"> The regression model used for analysis is as follows:</w:t>
      </w:r>
    </w:p>
    <w:p w:rsidR="0092734D" w:rsidRDefault="0092734D" w:rsidP="00AC04B2">
      <w:pPr>
        <w:jc w:val="both"/>
      </w:pPr>
      <w:r>
        <w:t xml:space="preserve"> </w:t>
      </w:r>
      <m:oMath>
        <m:sSub>
          <m:sSubPr>
            <m:ctrlPr>
              <w:rPr>
                <w:rFonts w:ascii="Cambria Math" w:hAnsi="Cambria Math"/>
                <w:i/>
              </w:rPr>
            </m:ctrlPr>
          </m:sSubPr>
          <m:e>
            <m:r>
              <w:rPr>
                <w:rFonts w:ascii="Cambria Math" w:hAnsi="Cambria Math"/>
              </w:rPr>
              <m:t>REF</m:t>
            </m:r>
          </m:e>
          <m:sub>
            <m:r>
              <w:rPr>
                <w:rFonts w:ascii="Cambria Math" w:hAnsi="Cambria Math"/>
              </w:rPr>
              <m:t>t</m:t>
            </m:r>
          </m:sub>
        </m:sSub>
        <m:r>
          <w:rPr>
            <w:rFonts w:ascii="Cambria Math" w:hAnsi="Cambria Math"/>
          </w:rPr>
          <m:t>=α+</m:t>
        </m:r>
        <m:sSub>
          <m:sSubPr>
            <m:ctrlPr>
              <w:rPr>
                <w:rFonts w:ascii="Cambria Math" w:hAnsi="Cambria Math"/>
                <w:i/>
              </w:rPr>
            </m:ctrlPr>
          </m:sSubPr>
          <m:e>
            <m:r>
              <w:rPr>
                <w:rFonts w:ascii="Cambria Math" w:hAnsi="Cambria Math"/>
              </w:rPr>
              <m:t>βRMKT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ηWTIBrentSpread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θINTRATE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ϕ</m:t>
            </m:r>
            <m:sSub>
              <m:sSubPr>
                <m:ctrlPr>
                  <w:rPr>
                    <w:rFonts w:ascii="Cambria Math" w:hAnsi="Cambria Math"/>
                    <w:i/>
                  </w:rPr>
                </m:ctrlPr>
              </m:sSubPr>
              <m:e>
                <m:r>
                  <w:rPr>
                    <w:rFonts w:ascii="Cambria Math" w:hAnsi="Cambria Math"/>
                  </w:rPr>
                  <m:t>US/Euro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γCrackSpread</m:t>
                </m:r>
              </m:e>
              <m:sub>
                <m:r>
                  <w:rPr>
                    <w:rFonts w:ascii="Cambria Math" w:hAnsi="Cambria Math"/>
                  </w:rPr>
                  <m:t>t</m:t>
                </m:r>
              </m:sub>
            </m:sSub>
            <m:r>
              <w:rPr>
                <w:rFonts w:ascii="Cambria Math" w:hAnsi="Cambria Math"/>
              </w:rPr>
              <m:t>+ε</m:t>
            </m:r>
          </m:e>
          <m:sub>
            <m:r>
              <w:rPr>
                <w:rFonts w:ascii="Cambria Math" w:hAnsi="Cambria Math"/>
              </w:rPr>
              <m:t>it</m:t>
            </m:r>
          </m:sub>
        </m:sSub>
      </m:oMath>
      <w:r w:rsidR="00AC04B2">
        <w:t xml:space="preserve">    </w:t>
      </w:r>
      <w:r w:rsidR="00E33C5F">
        <w:tab/>
      </w:r>
      <w:r w:rsidR="00AC04B2">
        <w:t>(2)</w:t>
      </w:r>
      <w:r>
        <w:t xml:space="preserve">                   </w:t>
      </w:r>
    </w:p>
    <w:p w:rsidR="00AC04B2" w:rsidRDefault="00AC04B2" w:rsidP="00AC04B2">
      <w:pPr>
        <w:jc w:val="both"/>
      </w:pPr>
    </w:p>
    <w:p w:rsidR="0092734D" w:rsidRPr="00AC04B2" w:rsidRDefault="00AC04B2" w:rsidP="00AC04B2">
      <w:pPr>
        <w:jc w:val="both"/>
      </w:pPr>
      <w:proofErr w:type="gramStart"/>
      <w:r w:rsidRPr="00AC04B2">
        <w:t>Where</w:t>
      </w:r>
      <w:r>
        <w:t xml:space="preserve"> the dependent variable is</w:t>
      </w:r>
      <w:r w:rsidR="003B09C0">
        <w:t xml:space="preserve"> the return on the</w:t>
      </w:r>
      <w:r>
        <w:t xml:space="preserve"> S&amp;P </w:t>
      </w:r>
      <w:r w:rsidR="005C2EA5">
        <w:t xml:space="preserve">500 </w:t>
      </w:r>
      <w:r>
        <w:t>refining and marketing index.</w:t>
      </w:r>
      <w:proofErr w:type="gramEnd"/>
      <w:r>
        <w:t xml:space="preserve"> </w:t>
      </w:r>
      <m:oMath>
        <m:sSub>
          <m:sSubPr>
            <m:ctrlPr>
              <w:rPr>
                <w:rFonts w:ascii="Cambria Math" w:hAnsi="Cambria Math"/>
                <w:i/>
              </w:rPr>
            </m:ctrlPr>
          </m:sSubPr>
          <m:e>
            <m:r>
              <w:rPr>
                <w:rFonts w:ascii="Cambria Math" w:hAnsi="Cambria Math"/>
              </w:rPr>
              <m:t>RMKT</m:t>
            </m:r>
          </m:e>
          <m:sub>
            <m:r>
              <w:rPr>
                <w:rFonts w:ascii="Cambria Math" w:hAnsi="Cambria Math"/>
              </w:rPr>
              <m:t>t</m:t>
            </m:r>
          </m:sub>
        </m:sSub>
        <m:r>
          <w:rPr>
            <w:rFonts w:ascii="Cambria Math" w:hAnsi="Cambria Math"/>
          </w:rPr>
          <m:t xml:space="preserve"> </m:t>
        </m:r>
      </m:oMath>
      <w:proofErr w:type="gramStart"/>
      <w:r w:rsidR="00F876D8">
        <w:t>refers</w:t>
      </w:r>
      <w:proofErr w:type="gramEnd"/>
      <w:r w:rsidR="00F876D8">
        <w:t xml:space="preserve"> to</w:t>
      </w:r>
      <w:r>
        <w:t xml:space="preserve"> S&amp;P 500 market return. </w:t>
      </w:r>
    </w:p>
    <w:p w:rsidR="00AC04B2" w:rsidRDefault="00AC04B2" w:rsidP="00F26B58">
      <w:pPr>
        <w:jc w:val="both"/>
      </w:pPr>
      <w:r>
        <w:t>To further explore the relation</w:t>
      </w:r>
      <w:r w:rsidR="003B09C0">
        <w:t>s that exist</w:t>
      </w:r>
      <w:r>
        <w:t xml:space="preserve"> among our variables, we used a six variable vector auto-</w:t>
      </w:r>
      <w:proofErr w:type="gramStart"/>
      <w:r>
        <w:t>regression(</w:t>
      </w:r>
      <w:proofErr w:type="gramEnd"/>
      <w:r>
        <w:t xml:space="preserve">VAR). In VAR framework, each variable </w:t>
      </w:r>
      <w:r w:rsidR="003B09C0">
        <w:t>is expressed as function of</w:t>
      </w:r>
      <w:r>
        <w:t xml:space="preserve"> the lagged values of variables </w:t>
      </w:r>
      <w:r w:rsidR="003B09C0">
        <w:t>included in</w:t>
      </w:r>
      <w:r>
        <w:t xml:space="preserve"> the model. </w:t>
      </w:r>
      <w:r w:rsidR="00F26B58">
        <w:t xml:space="preserve">Further, </w:t>
      </w:r>
      <w:r w:rsidR="00F26B58">
        <w:fldChar w:fldCharType="begin"/>
      </w:r>
      <w:r w:rsidR="00F26B58">
        <w:instrText xml:space="preserve"> ADDIN EN.CITE &lt;EndNote&gt;&lt;Cite AuthorYear="1"&gt;&lt;Author&gt;Toda&lt;/Author&gt;&lt;Year&gt;1995&lt;/Year&gt;&lt;RecNum&gt;682&lt;/RecNum&gt;&lt;DisplayText&gt;Toda and Yamamoto (1995)&lt;/DisplayText&gt;&lt;record&gt;&lt;rec-number&gt;682&lt;/rec-number&gt;&lt;foreign-keys&gt;&lt;key app="EN" db-id="vspp090vlzsft1eadsvprpdxts2a00z2vddt"&gt;682&lt;/key&gt;&lt;/foreign-keys&gt;&lt;ref-type name="Journal Article"&gt;17&lt;/ref-type&gt;&lt;contributors&gt;&lt;authors&gt;&lt;author&gt;Toda, Hiro Y&lt;/author&gt;&lt;author&gt;Yamamoto, Taku&lt;/author&gt;&lt;/authors&gt;&lt;/contributors&gt;&lt;titles&gt;&lt;title&gt;Statistical inference in vector autoregressions with possibly integrated processes&lt;/title&gt;&lt;secondary-title&gt;Journal of econometrics&lt;/secondary-title&gt;&lt;/titles&gt;&lt;periodical&gt;&lt;full-title&gt;Journal of econometrics&lt;/full-title&gt;&lt;/periodical&gt;&lt;pages&gt;225-250&lt;/pages&gt;&lt;volume&gt;66&lt;/volume&gt;&lt;number&gt;1&lt;/number&gt;&lt;dates&gt;&lt;year&gt;1995&lt;/year&gt;&lt;/dates&gt;&lt;isbn&gt;0304-4076&lt;/isbn&gt;&lt;urls&gt;&lt;/urls&gt;&lt;/record&gt;&lt;/Cite&gt;&lt;/EndNote&gt;</w:instrText>
      </w:r>
      <w:r w:rsidR="00F26B58">
        <w:fldChar w:fldCharType="separate"/>
      </w:r>
      <w:hyperlink w:anchor="_ENREF_5" w:tooltip="Toda, 1995 #682" w:history="1">
        <w:r w:rsidR="00E33C5F">
          <w:rPr>
            <w:noProof/>
          </w:rPr>
          <w:t xml:space="preserve">Toda and </w:t>
        </w:r>
        <w:bookmarkStart w:id="0" w:name="_GoBack"/>
        <w:r w:rsidR="00E33C5F">
          <w:rPr>
            <w:noProof/>
          </w:rPr>
          <w:t xml:space="preserve">Yamamoto </w:t>
        </w:r>
        <w:bookmarkEnd w:id="0"/>
        <w:r w:rsidR="00E33C5F">
          <w:rPr>
            <w:noProof/>
          </w:rPr>
          <w:t>(1995</w:t>
        </w:r>
      </w:hyperlink>
      <w:r w:rsidR="00F26B58">
        <w:rPr>
          <w:noProof/>
        </w:rPr>
        <w:t>)</w:t>
      </w:r>
      <w:r w:rsidR="00F26B58">
        <w:fldChar w:fldCharType="end"/>
      </w:r>
      <w:r w:rsidR="00F26B58">
        <w:t xml:space="preserve"> propose a lag augmented VAR model which is robust to integrated and  co-integration features of  the data and is a superior measure of testing </w:t>
      </w:r>
      <w:r w:rsidR="003B09C0">
        <w:t>as it</w:t>
      </w:r>
      <w:r w:rsidR="00F26B58">
        <w:t xml:space="preserve"> avoid</w:t>
      </w:r>
      <w:r w:rsidR="003B09C0">
        <w:t>s</w:t>
      </w:r>
      <w:r w:rsidR="00F26B58">
        <w:t xml:space="preserve"> pre-test problems.</w:t>
      </w:r>
      <w:r w:rsidR="008477E1">
        <w:t xml:space="preserve"> Nevertheless, we </w:t>
      </w:r>
      <w:r w:rsidR="003B09C0">
        <w:lastRenderedPageBreak/>
        <w:t xml:space="preserve">also report results from </w:t>
      </w:r>
      <w:r w:rsidR="008477E1">
        <w:t xml:space="preserve">three </w:t>
      </w:r>
      <w:r w:rsidR="003B09C0">
        <w:t xml:space="preserve">different </w:t>
      </w:r>
      <w:r w:rsidR="008477E1">
        <w:t>unit root test</w:t>
      </w:r>
      <w:r w:rsidR="003B09C0">
        <w:t>s</w:t>
      </w:r>
      <w:r w:rsidR="008477E1">
        <w:t xml:space="preserve"> to check </w:t>
      </w:r>
      <w:r w:rsidR="003B09C0">
        <w:t>whether the return data are stationary</w:t>
      </w:r>
      <w:r w:rsidR="008477E1">
        <w:t xml:space="preserve">. In addition, </w:t>
      </w:r>
      <w:r w:rsidR="003B09C0">
        <w:t xml:space="preserve">a </w:t>
      </w:r>
      <w:r w:rsidR="008477E1">
        <w:t xml:space="preserve">Lagrange multiplier test </w:t>
      </w:r>
      <w:r w:rsidR="003B09C0">
        <w:t>i</w:t>
      </w:r>
      <w:r w:rsidR="008477E1">
        <w:t>s been used to test</w:t>
      </w:r>
      <w:r w:rsidR="005C2EA5">
        <w:t xml:space="preserve"> for</w:t>
      </w:r>
      <w:r w:rsidR="008477E1">
        <w:t xml:space="preserve"> serial correlation</w:t>
      </w:r>
      <w:r w:rsidR="003B09C0">
        <w:t xml:space="preserve"> in the VAR residuals</w:t>
      </w:r>
      <w:r w:rsidR="008477E1">
        <w:t xml:space="preserve">. </w:t>
      </w:r>
      <w:r w:rsidR="003B09C0">
        <w:t>Our</w:t>
      </w:r>
      <w:r w:rsidR="008477E1">
        <w:t xml:space="preserve"> lag augmented VAR model </w:t>
      </w:r>
      <w:r w:rsidR="008477E1">
        <w:fldChar w:fldCharType="begin"/>
      </w:r>
      <w:r w:rsidR="008477E1">
        <w:instrText xml:space="preserve"> ADDIN EN.CITE &lt;EndNote&gt;&lt;Cite&gt;&lt;Author&gt;Toda&lt;/Author&gt;&lt;Year&gt;1995&lt;/Year&gt;&lt;RecNum&gt;682&lt;/RecNum&gt;&lt;DisplayText&gt;(Toda &amp;amp; Yamamoto 1995)&lt;/DisplayText&gt;&lt;record&gt;&lt;rec-number&gt;682&lt;/rec-number&gt;&lt;foreign-keys&gt;&lt;key app="EN" db-id="vspp090vlzsft1eadsvprpdxts2a00z2vddt"&gt;682&lt;/key&gt;&lt;/foreign-keys&gt;&lt;ref-type name="Journal Article"&gt;17&lt;/ref-type&gt;&lt;contributors&gt;&lt;authors&gt;&lt;author&gt;Toda, Hiro Y&lt;/author&gt;&lt;author&gt;Yamamoto, Taku&lt;/author&gt;&lt;/authors&gt;&lt;/contributors&gt;&lt;titles&gt;&lt;title&gt;Statistical inference in vector autoregressions with possibly integrated processes&lt;/title&gt;&lt;secondary-title&gt;Journal of econometrics&lt;/secondary-title&gt;&lt;/titles&gt;&lt;periodical&gt;&lt;full-title&gt;Journal of econometrics&lt;/full-title&gt;&lt;/periodical&gt;&lt;pages&gt;225-250&lt;/pages&gt;&lt;volume&gt;66&lt;/volume&gt;&lt;number&gt;1&lt;/number&gt;&lt;dates&gt;&lt;year&gt;1995&lt;/year&gt;&lt;/dates&gt;&lt;isbn&gt;0304-4076&lt;/isbn&gt;&lt;urls&gt;&lt;/urls&gt;&lt;/record&gt;&lt;/Cite&gt;&lt;/EndNote&gt;</w:instrText>
      </w:r>
      <w:r w:rsidR="008477E1">
        <w:fldChar w:fldCharType="separate"/>
      </w:r>
      <w:r w:rsidR="008477E1">
        <w:rPr>
          <w:noProof/>
        </w:rPr>
        <w:t>(</w:t>
      </w:r>
      <w:hyperlink w:anchor="_ENREF_5" w:tooltip="Toda, 1995 #682" w:history="1">
        <w:r w:rsidR="00E33C5F">
          <w:rPr>
            <w:noProof/>
          </w:rPr>
          <w:t>Toda &amp; Yamamoto 1995</w:t>
        </w:r>
      </w:hyperlink>
      <w:r w:rsidR="008477E1">
        <w:rPr>
          <w:noProof/>
        </w:rPr>
        <w:t>)</w:t>
      </w:r>
      <w:r w:rsidR="008477E1">
        <w:fldChar w:fldCharType="end"/>
      </w:r>
      <w:r w:rsidR="008477E1">
        <w:t xml:space="preserve"> to </w:t>
      </w:r>
      <w:proofErr w:type="spellStart"/>
      <w:r w:rsidR="003B09C0">
        <w:t>used</w:t>
      </w:r>
      <w:proofErr w:type="spellEnd"/>
      <w:r w:rsidR="003B09C0">
        <w:t xml:space="preserve"> to </w:t>
      </w:r>
      <w:r w:rsidR="008477E1">
        <w:t>examine the empirical relation</w:t>
      </w:r>
      <w:r w:rsidR="003B09C0">
        <w:t>s that exist</w:t>
      </w:r>
      <w:r w:rsidR="008477E1">
        <w:t xml:space="preserve"> between our variables. </w:t>
      </w:r>
      <w:r w:rsidR="00F876D8">
        <w:t xml:space="preserve">This procedure has been used previously to explore the relation between </w:t>
      </w:r>
      <w:r w:rsidR="003B09C0">
        <w:t xml:space="preserve">the </w:t>
      </w:r>
      <w:r w:rsidR="00F876D8">
        <w:t xml:space="preserve">stock prices of alternative energy companies and oil prices </w:t>
      </w:r>
      <w:r w:rsidR="00F876D8">
        <w:fldChar w:fldCharType="begin"/>
      </w:r>
      <w:r w:rsidR="00F876D8">
        <w:instrText xml:space="preserve"> ADDIN EN.CITE &lt;EndNote&gt;&lt;Cite&gt;&lt;Author&gt;Henriques&lt;/Author&gt;&lt;Year&gt;2008&lt;/Year&gt;&lt;RecNum&gt;162&lt;/RecNum&gt;&lt;DisplayText&gt;(Henriques &amp;amp; Sadorsky 2008)&lt;/DisplayText&gt;&lt;record&gt;&lt;rec-number&gt;162&lt;/rec-number&gt;&lt;foreign-keys&gt;&lt;key app="EN" db-id="vspp090vlzsft1eadsvprpdxts2a00z2vddt"&gt;162&lt;/key&gt;&lt;/foreign-keys&gt;&lt;ref-type name="Journal Article"&gt;17&lt;/ref-type&gt;&lt;contributors&gt;&lt;authors&gt;&lt;author&gt;Henriques, Irene&lt;/author&gt;&lt;author&gt;Sadorsky, Perry&lt;/author&gt;&lt;/authors&gt;&lt;/contributors&gt;&lt;titles&gt;&lt;title&gt;Oil prices and the stock prices of alternative energy companies&lt;/title&gt;&lt;secondary-title&gt;Energy Economics&lt;/secondary-title&gt;&lt;tertiary-title&gt;Energy Economics&lt;/tertiary-title&gt;&lt;/titles&gt;&lt;periodical&gt;&lt;full-title&gt;Energy Economics&lt;/full-title&gt;&lt;/periodical&gt;&lt;pages&gt;998-1010&lt;/pages&gt;&lt;volume&gt;30&lt;/volume&gt;&lt;number&gt;3&lt;/number&gt;&lt;dates&gt;&lt;year&gt;2008&lt;/year&gt;&lt;/dates&gt;&lt;publisher&gt;Elsevier&lt;/publisher&gt;&lt;urls&gt;&lt;related-urls&gt;&lt;url&gt;http://ideas.repec.org/a/eee/eneeco/v30y2008i3p998-1010.html&lt;/url&gt;&lt;/related-urls&gt;&lt;/urls&gt;&lt;/record&gt;&lt;/Cite&gt;&lt;/EndNote&gt;</w:instrText>
      </w:r>
      <w:r w:rsidR="00F876D8">
        <w:fldChar w:fldCharType="separate"/>
      </w:r>
      <w:r w:rsidR="00F876D8">
        <w:rPr>
          <w:noProof/>
        </w:rPr>
        <w:t>(</w:t>
      </w:r>
      <w:hyperlink w:anchor="_ENREF_4" w:tooltip="Henriques, 2008 #162" w:history="1">
        <w:r w:rsidR="00E33C5F">
          <w:rPr>
            <w:noProof/>
          </w:rPr>
          <w:t>Henriques &amp; Sadorsky 2008</w:t>
        </w:r>
      </w:hyperlink>
      <w:r w:rsidR="00F876D8">
        <w:rPr>
          <w:noProof/>
        </w:rPr>
        <w:t>)</w:t>
      </w:r>
      <w:r w:rsidR="00F876D8">
        <w:fldChar w:fldCharType="end"/>
      </w:r>
      <w:r w:rsidR="00F876D8">
        <w:t xml:space="preserve">. </w:t>
      </w:r>
    </w:p>
    <w:p w:rsidR="0092734D" w:rsidRPr="00D767DA" w:rsidRDefault="0092734D" w:rsidP="0092734D">
      <w:pPr>
        <w:pStyle w:val="Heading2"/>
        <w:rPr>
          <w:i w:val="0"/>
          <w:sz w:val="24"/>
          <w:szCs w:val="24"/>
        </w:rPr>
      </w:pPr>
      <w:r w:rsidRPr="00D767DA">
        <w:rPr>
          <w:i w:val="0"/>
          <w:sz w:val="24"/>
          <w:szCs w:val="24"/>
        </w:rPr>
        <w:t>Results</w:t>
      </w:r>
    </w:p>
    <w:p w:rsidR="0092734D" w:rsidRDefault="0092734D" w:rsidP="00F876D8">
      <w:pPr>
        <w:jc w:val="both"/>
      </w:pPr>
      <w:r>
        <w:t>Over the eight year period (2006-13) our regression analysis finds there is a significant and material relationship between the WTI-Brent spread and the value of U</w:t>
      </w:r>
      <w:r w:rsidR="00B87EF4">
        <w:t>.</w:t>
      </w:r>
      <w:r>
        <w:t>S</w:t>
      </w:r>
      <w:r w:rsidR="00B87EF4">
        <w:t>.</w:t>
      </w:r>
      <w:r>
        <w:t xml:space="preserve"> </w:t>
      </w:r>
      <w:r w:rsidR="00B87EF4">
        <w:t>r</w:t>
      </w:r>
      <w:r>
        <w:t>efiners. For the full p</w:t>
      </w:r>
      <w:r w:rsidR="00B87EF4">
        <w:t>eriod, we find</w:t>
      </w:r>
      <w:r w:rsidR="00DA60E9">
        <w:t xml:space="preserve"> that a 1% </w:t>
      </w:r>
      <w:r w:rsidR="001710BC">
        <w:t>decline</w:t>
      </w:r>
      <w:r w:rsidR="00DA60E9">
        <w:t xml:space="preserve"> in the spread lead to a 0.07% </w:t>
      </w:r>
      <w:r w:rsidR="001710BC">
        <w:t>increase</w:t>
      </w:r>
      <w:r w:rsidR="00DA60E9">
        <w:t xml:space="preserve"> in </w:t>
      </w:r>
      <w:r w:rsidR="001710BC">
        <w:t xml:space="preserve">the refining and marketing equity index per week which leads to a 4% return per annum. </w:t>
      </w:r>
      <w:r>
        <w:t xml:space="preserve">This </w:t>
      </w:r>
      <w:r w:rsidR="003B09C0">
        <w:t>provides</w:t>
      </w:r>
      <w:r>
        <w:t xml:space="preserve"> empirical evidence </w:t>
      </w:r>
      <w:r w:rsidR="003B09C0">
        <w:t xml:space="preserve">to support </w:t>
      </w:r>
      <w:r>
        <w:t xml:space="preserve">the argument, that US refiners are indeed more highly valued when the spread is lower. This </w:t>
      </w:r>
      <w:r w:rsidR="003B09C0">
        <w:t xml:space="preserve">negative </w:t>
      </w:r>
      <w:r>
        <w:t xml:space="preserve">relationship </w:t>
      </w:r>
      <w:r w:rsidR="003B09C0">
        <w:t xml:space="preserve">between the value of the US refiners and the spread </w:t>
      </w:r>
      <w:r>
        <w:t>appears to have started in 2008, and has remained in pla</w:t>
      </w:r>
      <w:r w:rsidR="00B87EF4">
        <w:t xml:space="preserve">ce during </w:t>
      </w:r>
      <w:r w:rsidR="003B09C0">
        <w:t xml:space="preserve">both </w:t>
      </w:r>
      <w:r w:rsidR="00B87EF4">
        <w:t xml:space="preserve">the </w:t>
      </w:r>
      <w:r>
        <w:t>GFC</w:t>
      </w:r>
      <w:r w:rsidR="003B09C0">
        <w:t xml:space="preserve"> period</w:t>
      </w:r>
      <w:r>
        <w:t xml:space="preserve"> and </w:t>
      </w:r>
      <w:r w:rsidR="003B09C0">
        <w:t xml:space="preserve">during </w:t>
      </w:r>
      <w:r>
        <w:t xml:space="preserve">the </w:t>
      </w:r>
      <w:r w:rsidR="003941B4">
        <w:t xml:space="preserve">Cushing supply glut </w:t>
      </w:r>
      <w:r w:rsidR="003B09C0">
        <w:t xml:space="preserve">that took place </w:t>
      </w:r>
      <w:r w:rsidR="003941B4">
        <w:t>post 2010</w:t>
      </w:r>
      <w:r>
        <w:t>. Specifically, we do not find evidence of this prior to 2008.</w:t>
      </w:r>
    </w:p>
    <w:p w:rsidR="003B09C0" w:rsidRDefault="003B09C0" w:rsidP="00F876D8">
      <w:pPr>
        <w:jc w:val="both"/>
      </w:pPr>
    </w:p>
    <w:p w:rsidR="0092734D" w:rsidRDefault="0092734D" w:rsidP="00F876D8">
      <w:pPr>
        <w:jc w:val="both"/>
      </w:pPr>
      <w:r>
        <w:t xml:space="preserve">We also find there is a significant and material relationship between the </w:t>
      </w:r>
      <w:r w:rsidR="007A123A">
        <w:t>c</w:t>
      </w:r>
      <w:r>
        <w:t>rack spread and the value of U</w:t>
      </w:r>
      <w:r w:rsidR="00B87EF4">
        <w:t>.</w:t>
      </w:r>
      <w:r>
        <w:t>S</w:t>
      </w:r>
      <w:r w:rsidR="00B87EF4">
        <w:t>.</w:t>
      </w:r>
      <w:r>
        <w:t xml:space="preserve"> </w:t>
      </w:r>
      <w:r w:rsidR="00B87EF4">
        <w:t>r</w:t>
      </w:r>
      <w:r>
        <w:t>e</w:t>
      </w:r>
      <w:r w:rsidR="00B87EF4">
        <w:t xml:space="preserve">finers. </w:t>
      </w:r>
      <w:r w:rsidR="00982392">
        <w:t xml:space="preserve">The coefficient of </w:t>
      </w:r>
      <w:r w:rsidR="005B5AE8">
        <w:t>0.0</w:t>
      </w:r>
      <w:r w:rsidR="00982392">
        <w:t xml:space="preserve">5% suggests that a 1% increase in the crack spread results in a </w:t>
      </w:r>
      <w:r w:rsidR="00C37864">
        <w:t>0.0</w:t>
      </w:r>
      <w:r w:rsidR="00B87EF4">
        <w:t xml:space="preserve">5% </w:t>
      </w:r>
      <w:r w:rsidR="00982392">
        <w:t>increase in the</w:t>
      </w:r>
      <w:r w:rsidR="00B87EF4">
        <w:t xml:space="preserve"> r</w:t>
      </w:r>
      <w:r>
        <w:t>efiner’s share price</w:t>
      </w:r>
      <w:r w:rsidR="00982392">
        <w:t xml:space="preserve"> and this is statistically significant </w:t>
      </w:r>
      <w:r>
        <w:t xml:space="preserve">at </w:t>
      </w:r>
      <w:r w:rsidR="00C46992">
        <w:t>5% level</w:t>
      </w:r>
      <w:r>
        <w:t>. Given that the crack spread is a measure of refining margin, and in turn profitability, the result is in-line with expectations. Moreover, it provides a direct point of comparison with the WTI-Brent spread result and shows the WTI-Brent sp</w:t>
      </w:r>
      <w:r w:rsidR="00B87EF4">
        <w:t>read has a larger impact on US r</w:t>
      </w:r>
      <w:r>
        <w:t>efiners.</w:t>
      </w:r>
      <w:r w:rsidR="00456886">
        <w:t xml:space="preserve"> </w:t>
      </w:r>
      <w:r>
        <w:t xml:space="preserve">When considering the other control variables, only </w:t>
      </w:r>
      <w:r w:rsidRPr="00D8545E">
        <w:t>equity market returns</w:t>
      </w:r>
      <w:r w:rsidR="005C2EA5">
        <w:t xml:space="preserve"> are found to be significant. </w:t>
      </w:r>
      <w:r w:rsidR="00982392">
        <w:t xml:space="preserve">The coefficients for </w:t>
      </w:r>
      <w:r w:rsidRPr="00D8545E">
        <w:t xml:space="preserve">Mid-West </w:t>
      </w:r>
      <w:r w:rsidR="00B07F2D">
        <w:t>stock level</w:t>
      </w:r>
      <w:r>
        <w:t xml:space="preserve">, </w:t>
      </w:r>
      <w:r w:rsidR="005C2EA5">
        <w:t>U.S</w:t>
      </w:r>
      <w:r w:rsidRPr="00D8545E">
        <w:t xml:space="preserve"> interest rate</w:t>
      </w:r>
      <w:r>
        <w:t>s and exchange</w:t>
      </w:r>
      <w:r w:rsidRPr="00D8545E">
        <w:t xml:space="preserve"> rate (US/Euro) </w:t>
      </w:r>
      <w:r w:rsidR="00982392">
        <w:t>are not statistically</w:t>
      </w:r>
      <w:r>
        <w:t xml:space="preserve"> significan</w:t>
      </w:r>
      <w:r w:rsidR="00982392">
        <w:t>t</w:t>
      </w:r>
      <w:r>
        <w:t xml:space="preserve"> over the period as a whole, or before and after 2008.</w:t>
      </w:r>
    </w:p>
    <w:p w:rsidR="007A123A" w:rsidRPr="005C4B40" w:rsidRDefault="007A123A" w:rsidP="00F876D8">
      <w:pPr>
        <w:jc w:val="both"/>
      </w:pPr>
    </w:p>
    <w:p w:rsidR="0092734D" w:rsidRDefault="0092734D" w:rsidP="00F876D8">
      <w:pPr>
        <w:jc w:val="both"/>
        <w:rPr>
          <w:sz w:val="24"/>
          <w:szCs w:val="24"/>
        </w:rPr>
      </w:pPr>
      <w:r w:rsidRPr="005C4B40">
        <w:t>In our time-series analysis we construct a six variable vector auto</w:t>
      </w:r>
      <w:r>
        <w:t>-</w:t>
      </w:r>
      <w:r w:rsidRPr="005C4B40">
        <w:t>regression model (VAR) to explore the relation</w:t>
      </w:r>
      <w:r w:rsidR="00982392">
        <w:t>s that exist</w:t>
      </w:r>
      <w:r w:rsidRPr="005C4B40">
        <w:t xml:space="preserve"> between variables.</w:t>
      </w:r>
      <w:r w:rsidR="00F876D8">
        <w:t xml:space="preserve"> </w:t>
      </w:r>
      <w:r w:rsidRPr="005C4B40">
        <w:t xml:space="preserve">Our results show that WTI-Brent spread, interest rate, exchange rate (USD-EUR) and crack spread each individually Granger cause the stock prices of refining firms. Consistent with our economic rationale, it is also found that past movements of Midwest Crude oil </w:t>
      </w:r>
      <w:r w:rsidR="005C2EA5">
        <w:t>stock</w:t>
      </w:r>
      <w:r w:rsidRPr="005C4B40">
        <w:t xml:space="preserve"> level explains WTI-Brent Spread movements.</w:t>
      </w:r>
      <w:r>
        <w:rPr>
          <w:sz w:val="24"/>
          <w:szCs w:val="24"/>
        </w:rPr>
        <w:t xml:space="preserve"> </w:t>
      </w:r>
    </w:p>
    <w:p w:rsidR="0092734D" w:rsidRPr="00D767DA" w:rsidRDefault="0092734D" w:rsidP="0092734D">
      <w:pPr>
        <w:pStyle w:val="Heading2"/>
        <w:jc w:val="both"/>
        <w:rPr>
          <w:i w:val="0"/>
          <w:sz w:val="24"/>
          <w:szCs w:val="24"/>
        </w:rPr>
      </w:pPr>
      <w:r w:rsidRPr="00D767DA">
        <w:rPr>
          <w:i w:val="0"/>
          <w:sz w:val="24"/>
          <w:szCs w:val="24"/>
        </w:rPr>
        <w:t>Conclusions</w:t>
      </w:r>
    </w:p>
    <w:p w:rsidR="008477E1" w:rsidRDefault="0092734D" w:rsidP="00F876D8">
      <w:pPr>
        <w:jc w:val="both"/>
      </w:pPr>
      <w:r>
        <w:t xml:space="preserve">The persistent supply imbalance and transportation frictions from mid-west crude producers have to a degree fractured the notion of a global oil price. These constraints on storage and transportation capacity have in turn created price differentials that are economically significant. Our focus on a key </w:t>
      </w:r>
      <w:proofErr w:type="spellStart"/>
      <w:r>
        <w:t>actor</w:t>
      </w:r>
      <w:proofErr w:type="spellEnd"/>
      <w:r>
        <w:t xml:space="preserve"> in the energy value chain, the U</w:t>
      </w:r>
      <w:r w:rsidR="00F876D8">
        <w:t>.</w:t>
      </w:r>
      <w:r>
        <w:t>S</w:t>
      </w:r>
      <w:r w:rsidR="00F876D8">
        <w:t>.</w:t>
      </w:r>
      <w:r>
        <w:t xml:space="preserve"> based refiners, shows they are indeed positioned to profit from this imbalance</w:t>
      </w:r>
      <w:r w:rsidR="00982392">
        <w:t xml:space="preserve"> and this is reflected in refiner equity returns</w:t>
      </w:r>
      <w:r>
        <w:t>. As such</w:t>
      </w:r>
      <w:r w:rsidR="007A123A">
        <w:t>,</w:t>
      </w:r>
      <w:r>
        <w:t xml:space="preserve"> market participants seeking to profit from future </w:t>
      </w:r>
      <w:r w:rsidR="00982392">
        <w:t>changes in the WTI-Brent spread</w:t>
      </w:r>
      <w:r w:rsidR="00B87EF4">
        <w:t xml:space="preserve"> c</w:t>
      </w:r>
      <w:r w:rsidR="00982392">
        <w:t>ould</w:t>
      </w:r>
      <w:r w:rsidR="00B87EF4">
        <w:t xml:space="preserve"> trade</w:t>
      </w:r>
      <w:r w:rsidR="00982392">
        <w:t xml:space="preserve"> on</w:t>
      </w:r>
      <w:r w:rsidR="00B87EF4">
        <w:t xml:space="preserve"> these view</w:t>
      </w:r>
      <w:r w:rsidR="00982392">
        <w:t>s</w:t>
      </w:r>
      <w:r w:rsidR="00B87EF4">
        <w:t xml:space="preserve"> via U.S. r</w:t>
      </w:r>
      <w:r>
        <w:t>efiners, either through direct equity posit</w:t>
      </w:r>
      <w:r w:rsidR="000E19D2">
        <w:t>ions or index tracking ETFs</w:t>
      </w:r>
      <w:r>
        <w:t>.</w:t>
      </w:r>
    </w:p>
    <w:p w:rsidR="007A123A" w:rsidRDefault="007A123A" w:rsidP="00F876D8">
      <w:pPr>
        <w:jc w:val="both"/>
      </w:pPr>
    </w:p>
    <w:p w:rsidR="008477E1" w:rsidRDefault="00982392" w:rsidP="00F876D8">
      <w:pPr>
        <w:jc w:val="both"/>
      </w:pPr>
      <w:r>
        <w:t xml:space="preserve">An important </w:t>
      </w:r>
      <w:r w:rsidR="00F876D8">
        <w:t xml:space="preserve">contribution of this study </w:t>
      </w:r>
      <w:r>
        <w:t>is the</w:t>
      </w:r>
      <w:r w:rsidR="00F876D8">
        <w:t xml:space="preserve"> evidence </w:t>
      </w:r>
      <w:r>
        <w:t xml:space="preserve">supportive </w:t>
      </w:r>
      <w:r w:rsidR="00F876D8">
        <w:t xml:space="preserve">of market efficiency </w:t>
      </w:r>
      <w:r w:rsidR="008477E1">
        <w:t xml:space="preserve">in a </w:t>
      </w:r>
      <w:r w:rsidR="007A123A">
        <w:t>refining</w:t>
      </w:r>
      <w:r w:rsidR="008477E1">
        <w:t xml:space="preserve"> </w:t>
      </w:r>
      <w:r w:rsidR="007A123A">
        <w:t>industry</w:t>
      </w:r>
      <w:r>
        <w:t xml:space="preserve"> equity market</w:t>
      </w:r>
      <w:r w:rsidR="008477E1">
        <w:t>. Previous studies f</w:t>
      </w:r>
      <w:r>
        <w:t>i</w:t>
      </w:r>
      <w:r w:rsidR="008477E1">
        <w:t xml:space="preserve">nd evidence of real options in refining industry </w:t>
      </w:r>
      <w:r w:rsidR="008477E1">
        <w:fldChar w:fldCharType="begin"/>
      </w:r>
      <w:r w:rsidR="008477E1">
        <w:instrText xml:space="preserve"> ADDIN EN.CITE &lt;EndNote&gt;&lt;Cite&gt;&lt;Author&gt;Dunne&lt;/Author&gt;&lt;Year&gt;2010&lt;/Year&gt;&lt;RecNum&gt;586&lt;/RecNum&gt;&lt;DisplayText&gt;(Dunne &amp;amp; Mu 2010)&lt;/DisplayText&gt;&lt;record&gt;&lt;rec-number&gt;586&lt;/rec-number&gt;&lt;foreign-keys&gt;&lt;key app="EN" db-id="vspp090vlzsft1eadsvprpdxts2a00z2vddt"&gt;586&lt;/key&gt;&lt;/foreign-keys&gt;&lt;ref-type name="Journal Article"&gt;17&lt;/ref-type&gt;&lt;contributors&gt;&lt;authors&gt;&lt;author&gt;Dunne, TImothy&lt;/author&gt;&lt;author&gt;Mu, Xiaoyi&lt;/author&gt;&lt;/authors&gt;&lt;/contributors&gt;&lt;titles&gt;&lt;title&gt;Investment Spikes and Uncertainty in the Petroleum Refining Industry&lt;/title&gt;&lt;secondary-title&gt;The Journal of Industrial Economics&lt;/secondary-title&gt;&lt;/titles&gt;&lt;periodical&gt;&lt;full-title&gt;The Journal of Industrial Economics&lt;/full-title&gt;&lt;/periodical&gt;&lt;pages&gt;190-213&lt;/pages&gt;&lt;volume&gt;58&lt;/volume&gt;&lt;number&gt;1&lt;/number&gt;&lt;dates&gt;&lt;year&gt;2010&lt;/year&gt;&lt;/dates&gt;&lt;isbn&gt;1467-6451&lt;/isbn&gt;&lt;urls&gt;&lt;/urls&gt;&lt;/record&gt;&lt;/Cite&gt;&lt;/EndNote&gt;</w:instrText>
      </w:r>
      <w:r w:rsidR="008477E1">
        <w:fldChar w:fldCharType="separate"/>
      </w:r>
      <w:r w:rsidR="008477E1">
        <w:rPr>
          <w:noProof/>
        </w:rPr>
        <w:t>(</w:t>
      </w:r>
      <w:hyperlink w:anchor="_ENREF_2" w:tooltip="Dunne, 2010 #586" w:history="1">
        <w:r w:rsidR="00E33C5F">
          <w:rPr>
            <w:noProof/>
          </w:rPr>
          <w:t>Dunne &amp; Mu 2010</w:t>
        </w:r>
      </w:hyperlink>
      <w:r w:rsidR="008477E1">
        <w:rPr>
          <w:noProof/>
        </w:rPr>
        <w:t>)</w:t>
      </w:r>
      <w:r w:rsidR="008477E1">
        <w:fldChar w:fldCharType="end"/>
      </w:r>
      <w:r w:rsidR="00470742">
        <w:t xml:space="preserve">. </w:t>
      </w:r>
      <w:r w:rsidR="008477E1">
        <w:t>This</w:t>
      </w:r>
      <w:r w:rsidR="00470742">
        <w:t xml:space="preserve"> current</w:t>
      </w:r>
      <w:r w:rsidR="008477E1">
        <w:t xml:space="preserve"> study utilizes the price differentials between WTI and Brent prices to present evidence of </w:t>
      </w:r>
      <w:r>
        <w:t xml:space="preserve">a </w:t>
      </w:r>
      <w:r w:rsidR="008477E1">
        <w:t xml:space="preserve">positive market reaction to </w:t>
      </w:r>
      <w:r>
        <w:t xml:space="preserve">increased </w:t>
      </w:r>
      <w:r w:rsidR="008477E1">
        <w:t xml:space="preserve">profitability of refinery firms. </w:t>
      </w:r>
      <w:r w:rsidR="007A123A">
        <w:t>A p</w:t>
      </w:r>
      <w:r w:rsidR="008477E1">
        <w:t xml:space="preserve">ossible extension of this study is to use techniques </w:t>
      </w:r>
      <w:proofErr w:type="spellStart"/>
      <w:r w:rsidR="001710BC">
        <w:t>sucha</w:t>
      </w:r>
      <w:proofErr w:type="spellEnd"/>
      <w:r w:rsidR="001710BC">
        <w:t xml:space="preserve"> as impulse response function </w:t>
      </w:r>
      <w:r w:rsidR="008477E1">
        <w:t xml:space="preserve">to </w:t>
      </w:r>
      <w:r w:rsidR="001710BC">
        <w:t>identify</w:t>
      </w:r>
      <w:r w:rsidR="008477E1">
        <w:t xml:space="preserve"> the response of refining and marketing index equity returns to </w:t>
      </w:r>
      <w:r>
        <w:t xml:space="preserve">a </w:t>
      </w:r>
      <w:r w:rsidR="008477E1">
        <w:t xml:space="preserve">shock in WTI Brent spread or </w:t>
      </w:r>
      <w:r w:rsidR="007A123A">
        <w:t>c</w:t>
      </w:r>
      <w:r w:rsidR="008477E1">
        <w:t xml:space="preserve">rack spread.  </w:t>
      </w:r>
    </w:p>
    <w:p w:rsidR="0092734D" w:rsidRDefault="0092734D" w:rsidP="0092734D">
      <w:pPr>
        <w:pStyle w:val="Heading2"/>
        <w:rPr>
          <w:i w:val="0"/>
          <w:sz w:val="24"/>
          <w:szCs w:val="24"/>
        </w:rPr>
      </w:pPr>
      <w:r w:rsidRPr="00D767DA">
        <w:rPr>
          <w:i w:val="0"/>
          <w:sz w:val="24"/>
          <w:szCs w:val="24"/>
        </w:rPr>
        <w:t>References</w:t>
      </w:r>
    </w:p>
    <w:p w:rsidR="00E33C5F" w:rsidRPr="00E33C5F" w:rsidRDefault="00E33C5F" w:rsidP="00E33C5F"/>
    <w:p w:rsidR="00E33C5F" w:rsidRDefault="00E33C5F" w:rsidP="00E33C5F">
      <w:pPr>
        <w:pStyle w:val="BodyText2"/>
        <w:ind w:left="720" w:hanging="720"/>
        <w:rPr>
          <w:noProof/>
        </w:rPr>
      </w:pPr>
      <w:r>
        <w:fldChar w:fldCharType="begin"/>
      </w:r>
      <w:r>
        <w:instrText xml:space="preserve"> ADDIN EN.REFLIST </w:instrText>
      </w:r>
      <w:r>
        <w:fldChar w:fldCharType="separate"/>
      </w:r>
      <w:bookmarkStart w:id="1" w:name="_ENREF_1"/>
      <w:r>
        <w:rPr>
          <w:noProof/>
        </w:rPr>
        <w:t>Büyükşahin, B., Lee, T.K., Moser, J.T., Robe, M.A., 2013. Physical Markets, Paper Markets and the WTI-Brent Spread. Energy Journal 34</w:t>
      </w:r>
      <w:bookmarkEnd w:id="1"/>
    </w:p>
    <w:p w:rsidR="00E33C5F" w:rsidRDefault="00E33C5F" w:rsidP="00E33C5F">
      <w:pPr>
        <w:pStyle w:val="BodyText2"/>
        <w:ind w:left="720" w:hanging="720"/>
        <w:rPr>
          <w:noProof/>
        </w:rPr>
      </w:pPr>
      <w:bookmarkStart w:id="2" w:name="_ENREF_2"/>
      <w:r>
        <w:rPr>
          <w:noProof/>
        </w:rPr>
        <w:t>Dunne, T., Mu, X., 2010. Investment Spikes and Uncertainty in the Petroleum Refining Industry. The Journal of Industrial Economics 58, 190-213</w:t>
      </w:r>
      <w:bookmarkEnd w:id="2"/>
    </w:p>
    <w:p w:rsidR="00E33C5F" w:rsidRDefault="00E33C5F" w:rsidP="00E33C5F">
      <w:pPr>
        <w:pStyle w:val="BodyText2"/>
        <w:ind w:left="720" w:hanging="720"/>
        <w:rPr>
          <w:noProof/>
        </w:rPr>
      </w:pPr>
      <w:bookmarkStart w:id="3" w:name="_ENREF_3"/>
      <w:r>
        <w:rPr>
          <w:noProof/>
        </w:rPr>
        <w:t>Fattouh, B., 2010. The dynamics of crude oil price differentials. Energy Economics 32, 334-342</w:t>
      </w:r>
      <w:bookmarkEnd w:id="3"/>
    </w:p>
    <w:p w:rsidR="00E33C5F" w:rsidRDefault="00E33C5F" w:rsidP="00E33C5F">
      <w:pPr>
        <w:pStyle w:val="BodyText2"/>
        <w:ind w:left="720" w:hanging="720"/>
        <w:rPr>
          <w:noProof/>
        </w:rPr>
      </w:pPr>
      <w:bookmarkStart w:id="4" w:name="_ENREF_4"/>
      <w:r>
        <w:rPr>
          <w:noProof/>
        </w:rPr>
        <w:t>Henriques, I., Sadorsky, P., 2008. Oil prices and the stock prices of alternative energy companies. Energy Economics 30, 998-1010</w:t>
      </w:r>
      <w:bookmarkEnd w:id="4"/>
    </w:p>
    <w:p w:rsidR="00E33C5F" w:rsidRDefault="00E33C5F" w:rsidP="00E33C5F">
      <w:pPr>
        <w:pStyle w:val="BodyText2"/>
        <w:ind w:left="720" w:hanging="720"/>
        <w:rPr>
          <w:noProof/>
        </w:rPr>
      </w:pPr>
      <w:bookmarkStart w:id="5" w:name="_ENREF_5"/>
      <w:r>
        <w:rPr>
          <w:noProof/>
        </w:rPr>
        <w:t>Toda, H.Y., Yamamoto, T., 1995. Statistical inference in vector autoregressions with possibly integrated processes. Journal of econometrics 66, 225-250</w:t>
      </w:r>
      <w:bookmarkEnd w:id="5"/>
    </w:p>
    <w:p w:rsidR="00E33C5F" w:rsidRDefault="00E33C5F" w:rsidP="00E33C5F">
      <w:pPr>
        <w:pStyle w:val="BodyText2"/>
        <w:rPr>
          <w:noProof/>
        </w:rPr>
      </w:pPr>
    </w:p>
    <w:p w:rsidR="00535D6C" w:rsidRDefault="00E33C5F" w:rsidP="00E33C5F">
      <w:pPr>
        <w:pStyle w:val="BodyText2"/>
        <w:spacing w:after="200"/>
      </w:pPr>
      <w:r>
        <w:fldChar w:fldCharType="end"/>
      </w:r>
    </w:p>
    <w:sectPr w:rsidR="00535D6C" w:rsidSect="0092734D">
      <w:footerReference w:type="default" r:id="rId7"/>
      <w:headerReference w:type="first" r:id="rId8"/>
      <w:footerReference w:type="first" r:id="rId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D9" w:rsidRDefault="000D75D9">
      <w:r>
        <w:separator/>
      </w:r>
    </w:p>
  </w:endnote>
  <w:endnote w:type="continuationSeparator" w:id="0">
    <w:p w:rsidR="000D75D9" w:rsidRDefault="000D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Geneva"/>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F4" w:rsidRDefault="00B87EF4">
    <w:pPr>
      <w:pStyle w:val="Footer"/>
    </w:pPr>
    <w: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6234"/>
      <w:docPartObj>
        <w:docPartGallery w:val="Page Numbers (Bottom of Page)"/>
        <w:docPartUnique/>
      </w:docPartObj>
    </w:sdtPr>
    <w:sdtEndPr>
      <w:rPr>
        <w:noProof/>
      </w:rPr>
    </w:sdtEndPr>
    <w:sdtContent>
      <w:p w:rsidR="00244D7F" w:rsidRDefault="00244D7F">
        <w:pPr>
          <w:pStyle w:val="Footer"/>
          <w:jc w:val="center"/>
        </w:pPr>
        <w:r>
          <w:fldChar w:fldCharType="begin"/>
        </w:r>
        <w:r>
          <w:instrText xml:space="preserve"> PAGE   \* MERGEFORMAT </w:instrText>
        </w:r>
        <w:r>
          <w:fldChar w:fldCharType="separate"/>
        </w:r>
        <w:r w:rsidR="002C2CEA">
          <w:rPr>
            <w:noProof/>
          </w:rPr>
          <w:t>1</w:t>
        </w:r>
        <w:r>
          <w:rPr>
            <w:noProof/>
          </w:rPr>
          <w:fldChar w:fldCharType="end"/>
        </w:r>
      </w:p>
    </w:sdtContent>
  </w:sdt>
  <w:p w:rsidR="00244D7F" w:rsidRDefault="00244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D9" w:rsidRDefault="000D75D9">
      <w:r>
        <w:separator/>
      </w:r>
    </w:p>
  </w:footnote>
  <w:footnote w:type="continuationSeparator" w:id="0">
    <w:p w:rsidR="000D75D9" w:rsidRDefault="000D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0E19D2" w:rsidP="00DC69F1">
    <w:pPr>
      <w:pStyle w:val="Header"/>
      <w:tabs>
        <w:tab w:val="clear" w:pos="5400"/>
        <w:tab w:val="center" w:pos="851"/>
      </w:tabs>
      <w:jc w:val="right"/>
    </w:pPr>
    <w:r>
      <w:rPr>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Financial Economics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pp090vlzsft1eadsvprpdxts2a00z2vddt&quot;&gt;PHD&lt;record-ids&gt;&lt;item&gt;162&lt;/item&gt;&lt;item&gt;586&lt;/item&gt;&lt;item&gt;680&lt;/item&gt;&lt;item&gt;681&lt;/item&gt;&lt;item&gt;682&lt;/item&gt;&lt;/record-ids&gt;&lt;/item&gt;&lt;/Libraries&gt;"/>
  </w:docVars>
  <w:rsids>
    <w:rsidRoot w:val="0092734D"/>
    <w:rsid w:val="00037EDA"/>
    <w:rsid w:val="0006247F"/>
    <w:rsid w:val="000D75D9"/>
    <w:rsid w:val="000E19D2"/>
    <w:rsid w:val="00156487"/>
    <w:rsid w:val="001710BC"/>
    <w:rsid w:val="00191E5D"/>
    <w:rsid w:val="001F239B"/>
    <w:rsid w:val="00244D7F"/>
    <w:rsid w:val="00252AAD"/>
    <w:rsid w:val="00285D45"/>
    <w:rsid w:val="002C2CEA"/>
    <w:rsid w:val="003941B4"/>
    <w:rsid w:val="003B09C0"/>
    <w:rsid w:val="00456886"/>
    <w:rsid w:val="00470742"/>
    <w:rsid w:val="004D3BD4"/>
    <w:rsid w:val="005168D5"/>
    <w:rsid w:val="00535D6C"/>
    <w:rsid w:val="00557415"/>
    <w:rsid w:val="005B5557"/>
    <w:rsid w:val="005B5AE8"/>
    <w:rsid w:val="005C2EA5"/>
    <w:rsid w:val="00640EAB"/>
    <w:rsid w:val="006A0755"/>
    <w:rsid w:val="006C16C8"/>
    <w:rsid w:val="00714247"/>
    <w:rsid w:val="007A123A"/>
    <w:rsid w:val="007B6619"/>
    <w:rsid w:val="008477E1"/>
    <w:rsid w:val="008C11E6"/>
    <w:rsid w:val="0092734D"/>
    <w:rsid w:val="009450B8"/>
    <w:rsid w:val="00982392"/>
    <w:rsid w:val="00AA1F3E"/>
    <w:rsid w:val="00AC04B2"/>
    <w:rsid w:val="00B07F2D"/>
    <w:rsid w:val="00B87EF4"/>
    <w:rsid w:val="00C34DB3"/>
    <w:rsid w:val="00C37864"/>
    <w:rsid w:val="00C46992"/>
    <w:rsid w:val="00DA60E9"/>
    <w:rsid w:val="00E33C5F"/>
    <w:rsid w:val="00F26B58"/>
    <w:rsid w:val="00F804D0"/>
    <w:rsid w:val="00F87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4D"/>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92734D"/>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734D"/>
    <w:rPr>
      <w:rFonts w:ascii="Arial" w:eastAsia="Times New Roman" w:hAnsi="Arial" w:cs="Times New Roman"/>
      <w:b/>
      <w:i/>
      <w:szCs w:val="20"/>
      <w:lang w:val="en-GB"/>
    </w:rPr>
  </w:style>
  <w:style w:type="paragraph" w:styleId="Header">
    <w:name w:val="header"/>
    <w:basedOn w:val="Normal"/>
    <w:link w:val="HeaderChar"/>
    <w:uiPriority w:val="99"/>
    <w:rsid w:val="0092734D"/>
    <w:pPr>
      <w:tabs>
        <w:tab w:val="center" w:pos="5400"/>
        <w:tab w:val="right" w:pos="10800"/>
      </w:tabs>
    </w:pPr>
    <w:rPr>
      <w:rFonts w:ascii="Arial" w:hAnsi="Arial"/>
      <w:sz w:val="16"/>
    </w:rPr>
  </w:style>
  <w:style w:type="character" w:customStyle="1" w:styleId="HeaderChar">
    <w:name w:val="Header Char"/>
    <w:basedOn w:val="DefaultParagraphFont"/>
    <w:link w:val="Header"/>
    <w:uiPriority w:val="99"/>
    <w:rsid w:val="0092734D"/>
    <w:rPr>
      <w:rFonts w:ascii="Arial" w:eastAsia="Times New Roman" w:hAnsi="Arial" w:cs="Times New Roman"/>
      <w:sz w:val="16"/>
      <w:szCs w:val="20"/>
      <w:lang w:val="en-GB"/>
    </w:rPr>
  </w:style>
  <w:style w:type="paragraph" w:customStyle="1" w:styleId="copyright">
    <w:name w:val="copyright"/>
    <w:basedOn w:val="Normal"/>
    <w:rsid w:val="0092734D"/>
    <w:pPr>
      <w:spacing w:line="140" w:lineRule="exact"/>
      <w:jc w:val="both"/>
    </w:pPr>
    <w:rPr>
      <w:rFonts w:ascii="Arial" w:hAnsi="Arial"/>
      <w:sz w:val="12"/>
    </w:rPr>
  </w:style>
  <w:style w:type="paragraph" w:styleId="BodyText">
    <w:name w:val="Body Text"/>
    <w:basedOn w:val="Normal"/>
    <w:link w:val="BodyTextChar"/>
    <w:rsid w:val="0092734D"/>
    <w:rPr>
      <w:sz w:val="22"/>
    </w:rPr>
  </w:style>
  <w:style w:type="character" w:customStyle="1" w:styleId="BodyTextChar">
    <w:name w:val="Body Text Char"/>
    <w:basedOn w:val="DefaultParagraphFont"/>
    <w:link w:val="BodyText"/>
    <w:rsid w:val="0092734D"/>
    <w:rPr>
      <w:rFonts w:ascii="Times New Roman" w:eastAsia="Times New Roman" w:hAnsi="Times New Roman" w:cs="Times New Roman"/>
      <w:szCs w:val="20"/>
      <w:lang w:val="en-GB"/>
    </w:rPr>
  </w:style>
  <w:style w:type="paragraph" w:styleId="BodyText2">
    <w:name w:val="Body Text 2"/>
    <w:basedOn w:val="Normal"/>
    <w:link w:val="BodyText2Char"/>
    <w:rsid w:val="0092734D"/>
    <w:pPr>
      <w:jc w:val="both"/>
    </w:pPr>
  </w:style>
  <w:style w:type="character" w:customStyle="1" w:styleId="BodyText2Char">
    <w:name w:val="Body Text 2 Char"/>
    <w:basedOn w:val="DefaultParagraphFont"/>
    <w:link w:val="BodyText2"/>
    <w:rsid w:val="0092734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2734D"/>
    <w:rPr>
      <w:rFonts w:ascii="Tahoma" w:hAnsi="Tahoma" w:cs="Tahoma"/>
      <w:sz w:val="16"/>
      <w:szCs w:val="16"/>
    </w:rPr>
  </w:style>
  <w:style w:type="character" w:customStyle="1" w:styleId="BalloonTextChar">
    <w:name w:val="Balloon Text Char"/>
    <w:basedOn w:val="DefaultParagraphFont"/>
    <w:link w:val="BalloonText"/>
    <w:uiPriority w:val="99"/>
    <w:semiHidden/>
    <w:rsid w:val="0092734D"/>
    <w:rPr>
      <w:rFonts w:ascii="Tahoma" w:eastAsia="Times New Roman" w:hAnsi="Tahoma" w:cs="Tahoma"/>
      <w:sz w:val="16"/>
      <w:szCs w:val="16"/>
      <w:lang w:val="en-GB"/>
    </w:rPr>
  </w:style>
  <w:style w:type="character" w:styleId="Hyperlink">
    <w:name w:val="Hyperlink"/>
    <w:basedOn w:val="DefaultParagraphFont"/>
    <w:uiPriority w:val="99"/>
    <w:unhideWhenUsed/>
    <w:rsid w:val="0092734D"/>
    <w:rPr>
      <w:color w:val="0000FF" w:themeColor="hyperlink"/>
      <w:u w:val="single"/>
    </w:rPr>
  </w:style>
  <w:style w:type="paragraph" w:styleId="Footer">
    <w:name w:val="footer"/>
    <w:basedOn w:val="Normal"/>
    <w:link w:val="FooterChar"/>
    <w:uiPriority w:val="99"/>
    <w:unhideWhenUsed/>
    <w:rsid w:val="00244D7F"/>
    <w:pPr>
      <w:tabs>
        <w:tab w:val="center" w:pos="4513"/>
        <w:tab w:val="right" w:pos="9026"/>
      </w:tabs>
    </w:pPr>
  </w:style>
  <w:style w:type="character" w:customStyle="1" w:styleId="FooterChar">
    <w:name w:val="Footer Char"/>
    <w:basedOn w:val="DefaultParagraphFont"/>
    <w:link w:val="Footer"/>
    <w:uiPriority w:val="99"/>
    <w:rsid w:val="00244D7F"/>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982392"/>
    <w:rPr>
      <w:sz w:val="16"/>
      <w:szCs w:val="16"/>
    </w:rPr>
  </w:style>
  <w:style w:type="paragraph" w:styleId="CommentText">
    <w:name w:val="annotation text"/>
    <w:basedOn w:val="Normal"/>
    <w:link w:val="CommentTextChar"/>
    <w:uiPriority w:val="99"/>
    <w:semiHidden/>
    <w:unhideWhenUsed/>
    <w:rsid w:val="00982392"/>
  </w:style>
  <w:style w:type="character" w:customStyle="1" w:styleId="CommentTextChar">
    <w:name w:val="Comment Text Char"/>
    <w:basedOn w:val="DefaultParagraphFont"/>
    <w:link w:val="CommentText"/>
    <w:uiPriority w:val="99"/>
    <w:semiHidden/>
    <w:rsid w:val="0098239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82392"/>
    <w:rPr>
      <w:b/>
      <w:bCs/>
    </w:rPr>
  </w:style>
  <w:style w:type="character" w:customStyle="1" w:styleId="CommentSubjectChar">
    <w:name w:val="Comment Subject Char"/>
    <w:basedOn w:val="CommentTextChar"/>
    <w:link w:val="CommentSubject"/>
    <w:uiPriority w:val="99"/>
    <w:semiHidden/>
    <w:rsid w:val="00982392"/>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4D"/>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92734D"/>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734D"/>
    <w:rPr>
      <w:rFonts w:ascii="Arial" w:eastAsia="Times New Roman" w:hAnsi="Arial" w:cs="Times New Roman"/>
      <w:b/>
      <w:i/>
      <w:szCs w:val="20"/>
      <w:lang w:val="en-GB"/>
    </w:rPr>
  </w:style>
  <w:style w:type="paragraph" w:styleId="Header">
    <w:name w:val="header"/>
    <w:basedOn w:val="Normal"/>
    <w:link w:val="HeaderChar"/>
    <w:uiPriority w:val="99"/>
    <w:rsid w:val="0092734D"/>
    <w:pPr>
      <w:tabs>
        <w:tab w:val="center" w:pos="5400"/>
        <w:tab w:val="right" w:pos="10800"/>
      </w:tabs>
    </w:pPr>
    <w:rPr>
      <w:rFonts w:ascii="Arial" w:hAnsi="Arial"/>
      <w:sz w:val="16"/>
    </w:rPr>
  </w:style>
  <w:style w:type="character" w:customStyle="1" w:styleId="HeaderChar">
    <w:name w:val="Header Char"/>
    <w:basedOn w:val="DefaultParagraphFont"/>
    <w:link w:val="Header"/>
    <w:uiPriority w:val="99"/>
    <w:rsid w:val="0092734D"/>
    <w:rPr>
      <w:rFonts w:ascii="Arial" w:eastAsia="Times New Roman" w:hAnsi="Arial" w:cs="Times New Roman"/>
      <w:sz w:val="16"/>
      <w:szCs w:val="20"/>
      <w:lang w:val="en-GB"/>
    </w:rPr>
  </w:style>
  <w:style w:type="paragraph" w:customStyle="1" w:styleId="copyright">
    <w:name w:val="copyright"/>
    <w:basedOn w:val="Normal"/>
    <w:rsid w:val="0092734D"/>
    <w:pPr>
      <w:spacing w:line="140" w:lineRule="exact"/>
      <w:jc w:val="both"/>
    </w:pPr>
    <w:rPr>
      <w:rFonts w:ascii="Arial" w:hAnsi="Arial"/>
      <w:sz w:val="12"/>
    </w:rPr>
  </w:style>
  <w:style w:type="paragraph" w:styleId="BodyText">
    <w:name w:val="Body Text"/>
    <w:basedOn w:val="Normal"/>
    <w:link w:val="BodyTextChar"/>
    <w:rsid w:val="0092734D"/>
    <w:rPr>
      <w:sz w:val="22"/>
    </w:rPr>
  </w:style>
  <w:style w:type="character" w:customStyle="1" w:styleId="BodyTextChar">
    <w:name w:val="Body Text Char"/>
    <w:basedOn w:val="DefaultParagraphFont"/>
    <w:link w:val="BodyText"/>
    <w:rsid w:val="0092734D"/>
    <w:rPr>
      <w:rFonts w:ascii="Times New Roman" w:eastAsia="Times New Roman" w:hAnsi="Times New Roman" w:cs="Times New Roman"/>
      <w:szCs w:val="20"/>
      <w:lang w:val="en-GB"/>
    </w:rPr>
  </w:style>
  <w:style w:type="paragraph" w:styleId="BodyText2">
    <w:name w:val="Body Text 2"/>
    <w:basedOn w:val="Normal"/>
    <w:link w:val="BodyText2Char"/>
    <w:rsid w:val="0092734D"/>
    <w:pPr>
      <w:jc w:val="both"/>
    </w:pPr>
  </w:style>
  <w:style w:type="character" w:customStyle="1" w:styleId="BodyText2Char">
    <w:name w:val="Body Text 2 Char"/>
    <w:basedOn w:val="DefaultParagraphFont"/>
    <w:link w:val="BodyText2"/>
    <w:rsid w:val="0092734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2734D"/>
    <w:rPr>
      <w:rFonts w:ascii="Tahoma" w:hAnsi="Tahoma" w:cs="Tahoma"/>
      <w:sz w:val="16"/>
      <w:szCs w:val="16"/>
    </w:rPr>
  </w:style>
  <w:style w:type="character" w:customStyle="1" w:styleId="BalloonTextChar">
    <w:name w:val="Balloon Text Char"/>
    <w:basedOn w:val="DefaultParagraphFont"/>
    <w:link w:val="BalloonText"/>
    <w:uiPriority w:val="99"/>
    <w:semiHidden/>
    <w:rsid w:val="0092734D"/>
    <w:rPr>
      <w:rFonts w:ascii="Tahoma" w:eastAsia="Times New Roman" w:hAnsi="Tahoma" w:cs="Tahoma"/>
      <w:sz w:val="16"/>
      <w:szCs w:val="16"/>
      <w:lang w:val="en-GB"/>
    </w:rPr>
  </w:style>
  <w:style w:type="character" w:styleId="Hyperlink">
    <w:name w:val="Hyperlink"/>
    <w:basedOn w:val="DefaultParagraphFont"/>
    <w:uiPriority w:val="99"/>
    <w:unhideWhenUsed/>
    <w:rsid w:val="0092734D"/>
    <w:rPr>
      <w:color w:val="0000FF" w:themeColor="hyperlink"/>
      <w:u w:val="single"/>
    </w:rPr>
  </w:style>
  <w:style w:type="paragraph" w:styleId="Footer">
    <w:name w:val="footer"/>
    <w:basedOn w:val="Normal"/>
    <w:link w:val="FooterChar"/>
    <w:uiPriority w:val="99"/>
    <w:unhideWhenUsed/>
    <w:rsid w:val="00244D7F"/>
    <w:pPr>
      <w:tabs>
        <w:tab w:val="center" w:pos="4513"/>
        <w:tab w:val="right" w:pos="9026"/>
      </w:tabs>
    </w:pPr>
  </w:style>
  <w:style w:type="character" w:customStyle="1" w:styleId="FooterChar">
    <w:name w:val="Footer Char"/>
    <w:basedOn w:val="DefaultParagraphFont"/>
    <w:link w:val="Footer"/>
    <w:uiPriority w:val="99"/>
    <w:rsid w:val="00244D7F"/>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982392"/>
    <w:rPr>
      <w:sz w:val="16"/>
      <w:szCs w:val="16"/>
    </w:rPr>
  </w:style>
  <w:style w:type="paragraph" w:styleId="CommentText">
    <w:name w:val="annotation text"/>
    <w:basedOn w:val="Normal"/>
    <w:link w:val="CommentTextChar"/>
    <w:uiPriority w:val="99"/>
    <w:semiHidden/>
    <w:unhideWhenUsed/>
    <w:rsid w:val="00982392"/>
  </w:style>
  <w:style w:type="character" w:customStyle="1" w:styleId="CommentTextChar">
    <w:name w:val="Comment Text Char"/>
    <w:basedOn w:val="DefaultParagraphFont"/>
    <w:link w:val="CommentText"/>
    <w:uiPriority w:val="99"/>
    <w:semiHidden/>
    <w:rsid w:val="0098239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82392"/>
    <w:rPr>
      <w:b/>
      <w:bCs/>
    </w:rPr>
  </w:style>
  <w:style w:type="character" w:customStyle="1" w:styleId="CommentSubjectChar">
    <w:name w:val="Comment Subject Char"/>
    <w:basedOn w:val="CommentTextChar"/>
    <w:link w:val="CommentSubject"/>
    <w:uiPriority w:val="99"/>
    <w:semiHidden/>
    <w:rsid w:val="0098239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2239</Words>
  <Characters>13413</Characters>
  <Application>Microsoft Office Word</Application>
  <DocSecurity>0</DocSecurity>
  <Lines>319</Lines>
  <Paragraphs>198</Paragraphs>
  <ScaleCrop>false</ScaleCrop>
  <HeadingPairs>
    <vt:vector size="2" baseType="variant">
      <vt:variant>
        <vt:lpstr>Title</vt:lpstr>
      </vt:variant>
      <vt:variant>
        <vt:i4>1</vt:i4>
      </vt:variant>
    </vt:vector>
  </HeadingPairs>
  <TitlesOfParts>
    <vt:vector size="1" baseType="lpstr">
      <vt:lpstr/>
    </vt:vector>
  </TitlesOfParts>
  <Company>UWA Business School</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asabet</dc:creator>
  <cp:lastModifiedBy>asabet</cp:lastModifiedBy>
  <cp:revision>2</cp:revision>
  <cp:lastPrinted>2014-01-09T05:20:00Z</cp:lastPrinted>
  <dcterms:created xsi:type="dcterms:W3CDTF">2014-04-14T09:27:00Z</dcterms:created>
  <dcterms:modified xsi:type="dcterms:W3CDTF">2014-04-14T09:27:00Z</dcterms:modified>
</cp:coreProperties>
</file>