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69A" w:rsidRPr="00B20A69" w:rsidRDefault="00CD0F3C" w:rsidP="00EB269A">
      <w:pPr>
        <w:pStyle w:val="Title"/>
        <w:rPr>
          <w:sz w:val="32"/>
        </w:rPr>
      </w:pPr>
      <w:r w:rsidRPr="00B20A69">
        <w:rPr>
          <w:sz w:val="32"/>
        </w:rPr>
        <w:t xml:space="preserve">Impact of state policy on </w:t>
      </w:r>
      <w:r w:rsidR="00872A7C" w:rsidRPr="00B20A69">
        <w:rPr>
          <w:sz w:val="32"/>
        </w:rPr>
        <w:t>diffusion</w:t>
      </w:r>
      <w:r w:rsidRPr="00B20A69">
        <w:rPr>
          <w:sz w:val="32"/>
        </w:rPr>
        <w:t xml:space="preserve"> of solar PV</w:t>
      </w:r>
      <w:r w:rsidR="002D46F7" w:rsidRPr="00B20A69">
        <w:rPr>
          <w:sz w:val="32"/>
        </w:rPr>
        <w:t xml:space="preserve"> in the US</w:t>
      </w:r>
      <w:r w:rsidRPr="00B20A69">
        <w:rPr>
          <w:sz w:val="32"/>
        </w:rPr>
        <w:t>: A</w:t>
      </w:r>
      <w:r w:rsidR="00872A7C" w:rsidRPr="00B20A69">
        <w:rPr>
          <w:sz w:val="32"/>
        </w:rPr>
        <w:t>n</w:t>
      </w:r>
      <w:r w:rsidRPr="00B20A69">
        <w:rPr>
          <w:sz w:val="32"/>
        </w:rPr>
        <w:t xml:space="preserve"> empirical analysis</w:t>
      </w:r>
    </w:p>
    <w:p w:rsidR="00CD0F3C" w:rsidRPr="00CD0F3C" w:rsidRDefault="00CD0F3C" w:rsidP="00CD0F3C">
      <w:pPr>
        <w:spacing w:after="0"/>
        <w:jc w:val="right"/>
        <w:rPr>
          <w:rFonts w:cstheme="minorHAnsi"/>
          <w:iCs/>
          <w:sz w:val="20"/>
          <w:szCs w:val="20"/>
        </w:rPr>
      </w:pPr>
      <w:r w:rsidRPr="00CD0F3C">
        <w:rPr>
          <w:rFonts w:cstheme="minorHAnsi"/>
          <w:b/>
          <w:sz w:val="20"/>
          <w:szCs w:val="20"/>
          <w:lang w:val="de-DE"/>
        </w:rPr>
        <w:t>Gireesh Shrimali</w:t>
      </w:r>
      <w:r w:rsidRPr="00CD0F3C">
        <w:rPr>
          <w:rFonts w:cstheme="minorHAnsi"/>
          <w:sz w:val="20"/>
          <w:szCs w:val="20"/>
          <w:lang w:val="de-DE"/>
        </w:rPr>
        <w:t>, Monterey Institute of International Studies, +1</w:t>
      </w:r>
      <w:r w:rsidRPr="00814454">
        <w:rPr>
          <w:rFonts w:cstheme="minorHAnsi"/>
          <w:i/>
          <w:sz w:val="20"/>
          <w:szCs w:val="20"/>
          <w:lang w:val="de-DE"/>
        </w:rPr>
        <w:t>-</w:t>
      </w:r>
      <w:r w:rsidRPr="00814454">
        <w:rPr>
          <w:rStyle w:val="Emphasis"/>
          <w:rFonts w:cstheme="minorHAnsi"/>
          <w:i w:val="0"/>
          <w:sz w:val="20"/>
          <w:szCs w:val="20"/>
        </w:rPr>
        <w:t>650-353-8221</w:t>
      </w:r>
      <w:r w:rsidRPr="00CD0F3C">
        <w:rPr>
          <w:rFonts w:cstheme="minorHAnsi"/>
          <w:color w:val="000000"/>
          <w:sz w:val="20"/>
          <w:szCs w:val="20"/>
          <w:lang w:val="de-DE"/>
        </w:rPr>
        <w:t xml:space="preserve">, </w:t>
      </w:r>
      <w:r w:rsidRPr="00CD0F3C">
        <w:rPr>
          <w:rFonts w:cstheme="minorHAnsi"/>
          <w:sz w:val="20"/>
          <w:szCs w:val="20"/>
          <w:shd w:val="clear" w:color="auto" w:fill="FFFFFF"/>
        </w:rPr>
        <w:t>gshrimali@miis.edu</w:t>
      </w:r>
      <w:r w:rsidRPr="00CD0F3C">
        <w:rPr>
          <w:rFonts w:cstheme="minorHAnsi"/>
          <w:color w:val="000000"/>
          <w:sz w:val="20"/>
          <w:szCs w:val="20"/>
          <w:shd w:val="clear" w:color="auto" w:fill="FFFFFF"/>
        </w:rPr>
        <w:t xml:space="preserve"> </w:t>
      </w:r>
    </w:p>
    <w:p w:rsidR="00CD0F3C" w:rsidRPr="00CD0F3C" w:rsidRDefault="00CD0F3C" w:rsidP="00CD0F3C">
      <w:pPr>
        <w:pStyle w:val="BodyText"/>
        <w:jc w:val="right"/>
        <w:rPr>
          <w:rFonts w:asciiTheme="minorHAnsi" w:hAnsiTheme="minorHAnsi" w:cstheme="minorHAnsi"/>
          <w:sz w:val="20"/>
          <w:lang w:val="de-DE"/>
        </w:rPr>
      </w:pPr>
      <w:r w:rsidRPr="00CD0F3C">
        <w:rPr>
          <w:rFonts w:asciiTheme="minorHAnsi" w:hAnsiTheme="minorHAnsi" w:cstheme="minorHAnsi"/>
          <w:b/>
          <w:sz w:val="20"/>
        </w:rPr>
        <w:t>Steffen Jenner</w:t>
      </w:r>
      <w:r w:rsidRPr="00CD0F3C">
        <w:rPr>
          <w:rFonts w:asciiTheme="minorHAnsi" w:hAnsiTheme="minorHAnsi" w:cstheme="minorHAnsi"/>
          <w:sz w:val="20"/>
        </w:rPr>
        <w:t xml:space="preserve">, </w:t>
      </w:r>
      <w:proofErr w:type="spellStart"/>
      <w:r w:rsidRPr="00CD0F3C">
        <w:rPr>
          <w:rFonts w:asciiTheme="minorHAnsi" w:hAnsiTheme="minorHAnsi" w:cstheme="minorHAnsi"/>
          <w:sz w:val="20"/>
        </w:rPr>
        <w:t>Tuebingen</w:t>
      </w:r>
      <w:proofErr w:type="spellEnd"/>
      <w:r w:rsidRPr="00CD0F3C">
        <w:rPr>
          <w:rFonts w:asciiTheme="minorHAnsi" w:hAnsiTheme="minorHAnsi" w:cstheme="minorHAnsi"/>
          <w:sz w:val="20"/>
        </w:rPr>
        <w:t xml:space="preserve"> University</w:t>
      </w:r>
      <w:r w:rsidRPr="00CD0F3C">
        <w:rPr>
          <w:rFonts w:asciiTheme="minorHAnsi" w:hAnsiTheme="minorHAnsi" w:cstheme="minorHAnsi"/>
          <w:sz w:val="20"/>
          <w:lang w:val="de-DE"/>
        </w:rPr>
        <w:t>, +49-176-21301306, steffen.jenner@uni-tuebingen.de</w:t>
      </w:r>
    </w:p>
    <w:p w:rsidR="00DE31CC" w:rsidRPr="00CD0F3C" w:rsidRDefault="00581BA3" w:rsidP="00B20A69">
      <w:pPr>
        <w:pStyle w:val="Heading1"/>
        <w:spacing w:before="240"/>
        <w:rPr>
          <w:sz w:val="24"/>
        </w:rPr>
      </w:pPr>
      <w:r w:rsidRPr="00CD0F3C">
        <w:rPr>
          <w:sz w:val="24"/>
        </w:rPr>
        <w:t>Overview</w:t>
      </w:r>
    </w:p>
    <w:p w:rsidR="001F0EC5" w:rsidRPr="00D43E6F" w:rsidRDefault="001F0EC5" w:rsidP="00B20A69">
      <w:pPr>
        <w:autoSpaceDE w:val="0"/>
        <w:autoSpaceDN w:val="0"/>
        <w:adjustRightInd w:val="0"/>
        <w:spacing w:after="120" w:line="240" w:lineRule="auto"/>
        <w:rPr>
          <w:rFonts w:cstheme="minorHAnsi"/>
          <w:sz w:val="20"/>
        </w:rPr>
      </w:pPr>
      <w:r w:rsidRPr="00D43E6F">
        <w:rPr>
          <w:rFonts w:cstheme="minorHAnsi"/>
          <w:sz w:val="20"/>
        </w:rPr>
        <w:t>Solar photovoltaic (PV) technology has attracted a lot of attention in the policy circles over the past decade</w:t>
      </w:r>
      <w:r w:rsidR="00E51FD1" w:rsidRPr="00D43E6F">
        <w:rPr>
          <w:rFonts w:cstheme="minorHAnsi"/>
          <w:sz w:val="20"/>
        </w:rPr>
        <w:t xml:space="preserve"> due to its positive impacts on the environment, energy security, and industrial competitiveness (Barbose et al., 2010; </w:t>
      </w:r>
      <w:proofErr w:type="spellStart"/>
      <w:r w:rsidRPr="00D43E6F">
        <w:rPr>
          <w:rFonts w:cstheme="minorHAnsi"/>
          <w:sz w:val="20"/>
        </w:rPr>
        <w:t>Croucher</w:t>
      </w:r>
      <w:proofErr w:type="spellEnd"/>
      <w:r w:rsidRPr="00D43E6F">
        <w:rPr>
          <w:rFonts w:cstheme="minorHAnsi"/>
          <w:sz w:val="20"/>
        </w:rPr>
        <w:t>, 2010).</w:t>
      </w:r>
      <w:r w:rsidR="00E51FD1" w:rsidRPr="00D43E6F">
        <w:rPr>
          <w:rFonts w:cstheme="minorHAnsi"/>
          <w:sz w:val="20"/>
        </w:rPr>
        <w:t xml:space="preserve"> </w:t>
      </w:r>
      <w:r w:rsidRPr="00D43E6F">
        <w:rPr>
          <w:rFonts w:cstheme="minorHAnsi"/>
          <w:sz w:val="20"/>
        </w:rPr>
        <w:t xml:space="preserve">Given that solar is not cost competitive with most conventional energy sources yet (NREL, 2010), a lot of solar installations have been due to policies (Sherwood, 2010). The creation of such rapidly expanding markets has led the solar industry to achieve unprecedented economies of scale as well as learning-by-doing, encouraging global trade, and resulting in significant cost reductions (Nemet, 2006; Schaeffer et al., 2004). </w:t>
      </w:r>
    </w:p>
    <w:p w:rsidR="001F0EC5" w:rsidRPr="00D43E6F" w:rsidRDefault="001F0EC5" w:rsidP="00B20A69">
      <w:pPr>
        <w:autoSpaceDE w:val="0"/>
        <w:autoSpaceDN w:val="0"/>
        <w:adjustRightInd w:val="0"/>
        <w:spacing w:after="120" w:line="240" w:lineRule="auto"/>
        <w:rPr>
          <w:rFonts w:cstheme="minorHAnsi"/>
          <w:sz w:val="20"/>
        </w:rPr>
      </w:pPr>
      <w:r w:rsidRPr="00D43E6F">
        <w:rPr>
          <w:rFonts w:cstheme="minorHAnsi"/>
          <w:sz w:val="20"/>
        </w:rPr>
        <w:t>The market for PV in the U.S. is driven by government</w:t>
      </w:r>
      <w:r w:rsidR="006D0341" w:rsidRPr="00D43E6F">
        <w:rPr>
          <w:rFonts w:cstheme="minorHAnsi"/>
          <w:sz w:val="20"/>
        </w:rPr>
        <w:t xml:space="preserve"> incentives, including </w:t>
      </w:r>
      <w:r w:rsidRPr="00D43E6F">
        <w:rPr>
          <w:rFonts w:cstheme="minorHAnsi"/>
          <w:sz w:val="20"/>
        </w:rPr>
        <w:t>cash rebates, production-based incentives, purchase requi</w:t>
      </w:r>
      <w:r w:rsidR="006D0341" w:rsidRPr="00D43E6F">
        <w:rPr>
          <w:rFonts w:cstheme="minorHAnsi"/>
          <w:sz w:val="20"/>
        </w:rPr>
        <w:t>rements</w:t>
      </w:r>
      <w:r w:rsidRPr="00D43E6F">
        <w:rPr>
          <w:rFonts w:cstheme="minorHAnsi"/>
          <w:sz w:val="20"/>
        </w:rPr>
        <w:t xml:space="preserve">, and federal and state tax benefits. Though there are some policies at the federal level, most of the renewable energy policy action is happening at state-level, with considerable variations in </w:t>
      </w:r>
      <w:r w:rsidR="006D0341" w:rsidRPr="00D43E6F">
        <w:rPr>
          <w:rFonts w:cstheme="minorHAnsi"/>
          <w:sz w:val="20"/>
        </w:rPr>
        <w:t>policy design and implementation</w:t>
      </w:r>
      <w:r w:rsidRPr="00D43E6F">
        <w:rPr>
          <w:rFonts w:cstheme="minorHAnsi"/>
          <w:sz w:val="20"/>
        </w:rPr>
        <w:t xml:space="preserve"> (</w:t>
      </w:r>
      <w:r w:rsidR="00E51FD1" w:rsidRPr="00D43E6F">
        <w:rPr>
          <w:rFonts w:cstheme="minorHAnsi"/>
          <w:sz w:val="20"/>
        </w:rPr>
        <w:t>Sarzynski, 2009</w:t>
      </w:r>
      <w:r w:rsidRPr="00D43E6F">
        <w:rPr>
          <w:rFonts w:cstheme="minorHAnsi"/>
          <w:sz w:val="20"/>
        </w:rPr>
        <w:t xml:space="preserve">). Given that states differ in policy implementation as well as deployment and cost of solar PV systems, this variation creates a good backdrop for an </w:t>
      </w:r>
      <w:r w:rsidRPr="00D43E6F">
        <w:rPr>
          <w:rFonts w:cstheme="minorHAnsi"/>
          <w:i/>
          <w:iCs/>
          <w:sz w:val="20"/>
        </w:rPr>
        <w:t xml:space="preserve">empirical </w:t>
      </w:r>
      <w:r w:rsidRPr="00D43E6F">
        <w:rPr>
          <w:rFonts w:cstheme="minorHAnsi"/>
          <w:sz w:val="20"/>
        </w:rPr>
        <w:t>study on the impact of state-level policies on deployment and cost of solar PV.</w:t>
      </w:r>
    </w:p>
    <w:p w:rsidR="001F0EC5" w:rsidRPr="00D43E6F" w:rsidRDefault="00E51FD1" w:rsidP="001F0EC5">
      <w:pPr>
        <w:autoSpaceDE w:val="0"/>
        <w:autoSpaceDN w:val="0"/>
        <w:adjustRightInd w:val="0"/>
        <w:spacing w:after="0" w:line="240" w:lineRule="auto"/>
        <w:rPr>
          <w:rFonts w:cstheme="minorHAnsi"/>
          <w:sz w:val="20"/>
        </w:rPr>
      </w:pPr>
      <w:r w:rsidRPr="00D43E6F">
        <w:rPr>
          <w:rFonts w:cstheme="minorHAnsi"/>
          <w:sz w:val="20"/>
        </w:rPr>
        <w:t>T</w:t>
      </w:r>
      <w:r w:rsidR="001F0EC5" w:rsidRPr="00D43E6F">
        <w:rPr>
          <w:rFonts w:cstheme="minorHAnsi"/>
          <w:sz w:val="20"/>
        </w:rPr>
        <w:t>hough some work exists on the impact of state-level policy on the deployment of renewable energy (</w:t>
      </w:r>
      <w:proofErr w:type="spellStart"/>
      <w:r w:rsidR="001F0EC5" w:rsidRPr="00D43E6F">
        <w:rPr>
          <w:rFonts w:cstheme="minorHAnsi"/>
          <w:sz w:val="20"/>
        </w:rPr>
        <w:t>Carley</w:t>
      </w:r>
      <w:proofErr w:type="spellEnd"/>
      <w:r w:rsidR="001F0EC5" w:rsidRPr="00D43E6F">
        <w:rPr>
          <w:rFonts w:cstheme="minorHAnsi"/>
          <w:sz w:val="20"/>
        </w:rPr>
        <w:t xml:space="preserve">, 2009; </w:t>
      </w:r>
      <w:proofErr w:type="spellStart"/>
      <w:r w:rsidR="001F0EC5" w:rsidRPr="00D43E6F">
        <w:rPr>
          <w:rFonts w:cstheme="minorHAnsi"/>
          <w:sz w:val="20"/>
        </w:rPr>
        <w:t>Menz</w:t>
      </w:r>
      <w:proofErr w:type="spellEnd"/>
      <w:r w:rsidR="001F0EC5" w:rsidRPr="00D43E6F">
        <w:rPr>
          <w:rFonts w:cstheme="minorHAnsi"/>
          <w:sz w:val="20"/>
        </w:rPr>
        <w:t xml:space="preserve"> and </w:t>
      </w:r>
      <w:proofErr w:type="spellStart"/>
      <w:r w:rsidR="001F0EC5" w:rsidRPr="00D43E6F">
        <w:rPr>
          <w:rFonts w:cstheme="minorHAnsi"/>
          <w:sz w:val="20"/>
        </w:rPr>
        <w:t>Vachon</w:t>
      </w:r>
      <w:proofErr w:type="spellEnd"/>
      <w:r w:rsidR="001F0EC5" w:rsidRPr="00D43E6F">
        <w:rPr>
          <w:rFonts w:cstheme="minorHAnsi"/>
          <w:sz w:val="20"/>
        </w:rPr>
        <w:t>, 2006; Shrimali and Kneifel, 2011; Yin and Powers, 2010); on the deployment of solar PV (Sarzynski et al., 2011; Shrimali and Kneifel, 2011); and on the cost of solar PV (Mortensen, 2001; Wiser et al., 2006), the discourse suffers from two major limitations: first, there is no work that focuses on the impact of state policies on cost; and second, there is no work that focuses on the impact of policies on cost on a sector-wise basis.</w:t>
      </w:r>
    </w:p>
    <w:p w:rsidR="00581BA3" w:rsidRPr="00CD0F3C" w:rsidRDefault="00581BA3" w:rsidP="00B20A69">
      <w:pPr>
        <w:pStyle w:val="Heading1"/>
        <w:spacing w:before="240"/>
        <w:rPr>
          <w:sz w:val="24"/>
        </w:rPr>
      </w:pPr>
      <w:r w:rsidRPr="00CD0F3C">
        <w:rPr>
          <w:sz w:val="24"/>
        </w:rPr>
        <w:t>Methods</w:t>
      </w:r>
    </w:p>
    <w:p w:rsidR="001F0EC5" w:rsidRPr="00B20A69" w:rsidRDefault="002A742C" w:rsidP="00B20A69">
      <w:pPr>
        <w:autoSpaceDE w:val="0"/>
        <w:autoSpaceDN w:val="0"/>
        <w:adjustRightInd w:val="0"/>
        <w:spacing w:after="120" w:line="240" w:lineRule="auto"/>
        <w:rPr>
          <w:rFonts w:cstheme="minorHAnsi"/>
          <w:sz w:val="20"/>
          <w:szCs w:val="20"/>
        </w:rPr>
      </w:pPr>
      <w:r w:rsidRPr="00D43E6F">
        <w:rPr>
          <w:rFonts w:cstheme="minorHAnsi"/>
          <w:sz w:val="20"/>
          <w:szCs w:val="20"/>
        </w:rPr>
        <w:t>Using a panel database for 27 programs in 16 U.S. states over 1998-2009, we assess the impact of 12 state-level policies on the cost and deployment of solar photovoltaic (PV) technologies for two sectors defined by system sizes: residential (</w:t>
      </w:r>
      <w:r w:rsidRPr="00D43E6F">
        <w:rPr>
          <w:rFonts w:cstheme="minorHAnsi"/>
          <w:i/>
          <w:iCs/>
          <w:sz w:val="20"/>
          <w:szCs w:val="20"/>
        </w:rPr>
        <w:t xml:space="preserve">&lt; </w:t>
      </w:r>
      <w:r w:rsidRPr="00D43E6F">
        <w:rPr>
          <w:rFonts w:cstheme="minorHAnsi"/>
          <w:sz w:val="20"/>
          <w:szCs w:val="20"/>
        </w:rPr>
        <w:t>10kW) and commercial (10</w:t>
      </w:r>
      <w:r w:rsidRPr="00D43E6F">
        <w:rPr>
          <w:rFonts w:cstheme="minorHAnsi"/>
          <w:i/>
          <w:iCs/>
          <w:sz w:val="20"/>
          <w:szCs w:val="20"/>
        </w:rPr>
        <w:t>−</w:t>
      </w:r>
      <w:r w:rsidRPr="00D43E6F">
        <w:rPr>
          <w:rFonts w:cstheme="minorHAnsi"/>
          <w:sz w:val="20"/>
          <w:szCs w:val="20"/>
        </w:rPr>
        <w:t xml:space="preserve">100kW). </w:t>
      </w:r>
      <w:r w:rsidR="006349E5" w:rsidRPr="00D43E6F">
        <w:rPr>
          <w:rFonts w:cstheme="minorHAnsi"/>
          <w:sz w:val="20"/>
          <w:szCs w:val="20"/>
        </w:rPr>
        <w:t>We use</w:t>
      </w:r>
      <w:r w:rsidR="001F0EC5" w:rsidRPr="00D43E6F">
        <w:rPr>
          <w:rFonts w:cstheme="minorHAnsi"/>
          <w:sz w:val="20"/>
          <w:szCs w:val="20"/>
        </w:rPr>
        <w:t xml:space="preserve"> a regression model with fixed-effects to estimate the impact of state-level policy on deployment and cost of solar PV systems in various </w:t>
      </w:r>
      <w:r w:rsidR="006D0341" w:rsidRPr="00D43E6F">
        <w:rPr>
          <w:rFonts w:cstheme="minorHAnsi"/>
          <w:sz w:val="20"/>
          <w:szCs w:val="20"/>
        </w:rPr>
        <w:t xml:space="preserve">state-level </w:t>
      </w:r>
      <w:r w:rsidR="001F0EC5" w:rsidRPr="00D43E6F">
        <w:rPr>
          <w:rFonts w:cstheme="minorHAnsi"/>
          <w:sz w:val="20"/>
          <w:szCs w:val="20"/>
        </w:rPr>
        <w:t>programs.</w:t>
      </w:r>
    </w:p>
    <w:p w:rsidR="001F0EC5" w:rsidRPr="00B20A69" w:rsidRDefault="001F0EC5" w:rsidP="00B20A69">
      <w:pPr>
        <w:autoSpaceDE w:val="0"/>
        <w:autoSpaceDN w:val="0"/>
        <w:adjustRightInd w:val="0"/>
        <w:spacing w:after="120" w:line="240" w:lineRule="auto"/>
        <w:rPr>
          <w:rFonts w:cstheme="minorHAnsi"/>
          <w:sz w:val="20"/>
          <w:szCs w:val="20"/>
        </w:rPr>
      </w:pPr>
      <w:r w:rsidRPr="00D43E6F">
        <w:rPr>
          <w:rFonts w:cstheme="minorHAnsi"/>
          <w:sz w:val="20"/>
          <w:szCs w:val="20"/>
        </w:rPr>
        <w:t>Given that different policy designs may be targeting solar PV deployment and cost differently; and there may also be non-policy factors that affect solar deployment and cost-reduction; the model includes detailed policy and control variables for a state’s electricity market and political environment. The model can be written as:</w:t>
      </w:r>
    </w:p>
    <w:p w:rsidR="001F0EC5" w:rsidRPr="00D43E6F" w:rsidRDefault="001F0EC5" w:rsidP="00B20A69">
      <w:pPr>
        <w:autoSpaceDE w:val="0"/>
        <w:autoSpaceDN w:val="0"/>
        <w:adjustRightInd w:val="0"/>
        <w:spacing w:after="120" w:line="240" w:lineRule="auto"/>
        <w:jc w:val="center"/>
        <w:rPr>
          <w:rFonts w:ascii="cmr10" w:hAnsi="cmr10" w:cs="cmr10"/>
          <w:sz w:val="20"/>
          <w:szCs w:val="20"/>
        </w:rPr>
      </w:pPr>
      <w:proofErr w:type="spellStart"/>
      <w:r w:rsidRPr="00D43E6F">
        <w:rPr>
          <w:rFonts w:ascii="cmmi10" w:hAnsi="cmmi10" w:cs="cmmi10"/>
          <w:i/>
          <w:iCs/>
          <w:sz w:val="20"/>
          <w:szCs w:val="20"/>
        </w:rPr>
        <w:t>Y</w:t>
      </w:r>
      <w:r w:rsidRPr="00D43E6F">
        <w:rPr>
          <w:rFonts w:ascii="cmmi8" w:hAnsi="cmmi8" w:cs="cmmi8"/>
          <w:i/>
          <w:iCs/>
          <w:sz w:val="20"/>
          <w:szCs w:val="20"/>
        </w:rPr>
        <w:t>it</w:t>
      </w:r>
      <w:proofErr w:type="spellEnd"/>
      <w:r w:rsidRPr="00D43E6F">
        <w:rPr>
          <w:rFonts w:ascii="cmmi8" w:hAnsi="cmmi8" w:cs="cmmi8"/>
          <w:i/>
          <w:iCs/>
          <w:sz w:val="20"/>
          <w:szCs w:val="20"/>
        </w:rPr>
        <w:t xml:space="preserve"> </w:t>
      </w:r>
      <w:r w:rsidRPr="00D43E6F">
        <w:rPr>
          <w:rFonts w:ascii="cmr10" w:hAnsi="cmr10" w:cs="cmr10"/>
          <w:sz w:val="20"/>
          <w:szCs w:val="20"/>
        </w:rPr>
        <w:t xml:space="preserve">= </w:t>
      </w:r>
      <w:r w:rsidRPr="00D43E6F">
        <w:rPr>
          <w:rFonts w:ascii="cmmi10" w:hAnsi="cmmi10" w:cs="cmmi10"/>
          <w:i/>
          <w:iCs/>
          <w:sz w:val="20"/>
          <w:szCs w:val="20"/>
        </w:rPr>
        <w:t>®</w:t>
      </w:r>
      <w:r w:rsidRPr="00D43E6F">
        <w:rPr>
          <w:rFonts w:ascii="cmr8" w:hAnsi="cmr8" w:cs="cmr8"/>
          <w:sz w:val="20"/>
          <w:szCs w:val="20"/>
        </w:rPr>
        <w:t xml:space="preserve">0 </w:t>
      </w:r>
      <w:r w:rsidRPr="00D43E6F">
        <w:rPr>
          <w:rFonts w:ascii="cmr10" w:hAnsi="cmr10" w:cs="cmr10"/>
          <w:sz w:val="20"/>
          <w:szCs w:val="20"/>
        </w:rPr>
        <w:t xml:space="preserve">+ </w:t>
      </w:r>
      <w:r w:rsidRPr="00D43E6F">
        <w:rPr>
          <w:rFonts w:ascii="cmmi10" w:hAnsi="cmmi10" w:cs="cmmi10"/>
          <w:i/>
          <w:iCs/>
          <w:sz w:val="20"/>
          <w:szCs w:val="20"/>
        </w:rPr>
        <w:t xml:space="preserve">¯ </w:t>
      </w:r>
      <w:r w:rsidRPr="00D43E6F">
        <w:rPr>
          <w:rFonts w:ascii="cmsy10" w:hAnsi="cmsy10" w:cs="cmsy10"/>
          <w:i/>
          <w:iCs/>
          <w:sz w:val="20"/>
          <w:szCs w:val="20"/>
        </w:rPr>
        <w:t xml:space="preserve">¤ </w:t>
      </w:r>
      <w:proofErr w:type="spellStart"/>
      <w:r w:rsidRPr="00D43E6F">
        <w:rPr>
          <w:rFonts w:ascii="cmbx10" w:hAnsi="cmbx10" w:cs="cmbx10"/>
          <w:sz w:val="20"/>
          <w:szCs w:val="20"/>
        </w:rPr>
        <w:t>R</w:t>
      </w:r>
      <w:r w:rsidRPr="00D43E6F">
        <w:rPr>
          <w:rFonts w:ascii="cmmi8" w:hAnsi="cmmi8" w:cs="cmmi8"/>
          <w:i/>
          <w:iCs/>
          <w:sz w:val="20"/>
          <w:szCs w:val="20"/>
        </w:rPr>
        <w:t>it</w:t>
      </w:r>
      <w:proofErr w:type="spellEnd"/>
      <w:r w:rsidRPr="00D43E6F">
        <w:rPr>
          <w:rFonts w:ascii="cmmi8" w:hAnsi="cmmi8" w:cs="cmmi8"/>
          <w:i/>
          <w:iCs/>
          <w:sz w:val="20"/>
          <w:szCs w:val="20"/>
        </w:rPr>
        <w:t xml:space="preserve"> </w:t>
      </w:r>
      <w:r w:rsidRPr="00D43E6F">
        <w:rPr>
          <w:rFonts w:ascii="cmr10" w:hAnsi="cmr10" w:cs="cmr10"/>
          <w:sz w:val="20"/>
          <w:szCs w:val="20"/>
        </w:rPr>
        <w:t xml:space="preserve">+ </w:t>
      </w:r>
      <w:r w:rsidRPr="00D43E6F">
        <w:rPr>
          <w:rFonts w:ascii="cmmi10" w:hAnsi="cmmi10" w:cs="cmmi10"/>
          <w:i/>
          <w:iCs/>
          <w:sz w:val="20"/>
          <w:szCs w:val="20"/>
        </w:rPr>
        <w:t xml:space="preserve">± </w:t>
      </w:r>
      <w:r w:rsidRPr="00D43E6F">
        <w:rPr>
          <w:rFonts w:ascii="cmsy10" w:hAnsi="cmsy10" w:cs="cmsy10"/>
          <w:i/>
          <w:iCs/>
          <w:sz w:val="20"/>
          <w:szCs w:val="20"/>
        </w:rPr>
        <w:t>¤</w:t>
      </w:r>
      <w:r w:rsidRPr="00D43E6F">
        <w:rPr>
          <w:rFonts w:ascii="cmbx10" w:hAnsi="cmbx10" w:cs="cmbx10"/>
          <w:sz w:val="20"/>
          <w:szCs w:val="20"/>
        </w:rPr>
        <w:t>W</w:t>
      </w:r>
      <w:r w:rsidRPr="00D43E6F">
        <w:rPr>
          <w:rFonts w:ascii="cmmi8" w:hAnsi="cmmi8" w:cs="cmmi8"/>
          <w:i/>
          <w:iCs/>
          <w:sz w:val="20"/>
          <w:szCs w:val="20"/>
        </w:rPr>
        <w:t xml:space="preserve">it </w:t>
      </w:r>
      <w:r w:rsidRPr="00D43E6F">
        <w:rPr>
          <w:rFonts w:ascii="cmr10" w:hAnsi="cmr10" w:cs="cmr10"/>
          <w:sz w:val="20"/>
          <w:szCs w:val="20"/>
        </w:rPr>
        <w:t xml:space="preserve">+ </w:t>
      </w:r>
      <w:r w:rsidRPr="00D43E6F">
        <w:rPr>
          <w:rFonts w:ascii="cmmi10" w:hAnsi="cmmi10" w:cs="cmmi10"/>
          <w:i/>
          <w:iCs/>
          <w:sz w:val="20"/>
          <w:szCs w:val="20"/>
        </w:rPr>
        <w:t xml:space="preserve">° </w:t>
      </w:r>
      <w:r w:rsidRPr="00D43E6F">
        <w:rPr>
          <w:rFonts w:ascii="cmsy10" w:hAnsi="cmsy10" w:cs="cmsy10"/>
          <w:i/>
          <w:iCs/>
          <w:sz w:val="20"/>
          <w:szCs w:val="20"/>
        </w:rPr>
        <w:t xml:space="preserve">¤ </w:t>
      </w:r>
      <w:r w:rsidRPr="00D43E6F">
        <w:rPr>
          <w:rFonts w:ascii="cmbx10" w:hAnsi="cmbx10" w:cs="cmbx10"/>
          <w:sz w:val="20"/>
          <w:szCs w:val="20"/>
        </w:rPr>
        <w:t>S</w:t>
      </w:r>
      <w:r w:rsidRPr="00D43E6F">
        <w:rPr>
          <w:rFonts w:ascii="cmmi8" w:hAnsi="cmmi8" w:cs="cmmi8"/>
          <w:i/>
          <w:iCs/>
          <w:sz w:val="20"/>
          <w:szCs w:val="20"/>
        </w:rPr>
        <w:t xml:space="preserve">i </w:t>
      </w:r>
      <w:r w:rsidRPr="00D43E6F">
        <w:rPr>
          <w:rFonts w:ascii="cmr10" w:hAnsi="cmr10" w:cs="cmr10"/>
          <w:sz w:val="20"/>
          <w:szCs w:val="20"/>
        </w:rPr>
        <w:t xml:space="preserve">+ </w:t>
      </w:r>
      <w:r w:rsidRPr="00D43E6F">
        <w:rPr>
          <w:rFonts w:ascii="cmmi10" w:hAnsi="cmmi10" w:cs="cmmi10"/>
          <w:i/>
          <w:iCs/>
          <w:sz w:val="20"/>
          <w:szCs w:val="20"/>
        </w:rPr>
        <w:t xml:space="preserve">µ </w:t>
      </w:r>
      <w:r w:rsidRPr="00D43E6F">
        <w:rPr>
          <w:rFonts w:ascii="cmsy10" w:hAnsi="cmsy10" w:cs="cmsy10"/>
          <w:i/>
          <w:iCs/>
          <w:sz w:val="20"/>
          <w:szCs w:val="20"/>
        </w:rPr>
        <w:t xml:space="preserve">¤ </w:t>
      </w:r>
      <w:proofErr w:type="spellStart"/>
      <w:r w:rsidRPr="00D43E6F">
        <w:rPr>
          <w:rFonts w:ascii="cmbx10" w:hAnsi="cmbx10" w:cs="cmbx10"/>
          <w:sz w:val="20"/>
          <w:szCs w:val="20"/>
        </w:rPr>
        <w:t>T</w:t>
      </w:r>
      <w:r w:rsidRPr="00D43E6F">
        <w:rPr>
          <w:rFonts w:ascii="cmmi8" w:hAnsi="cmmi8" w:cs="cmmi8"/>
          <w:i/>
          <w:iCs/>
          <w:sz w:val="20"/>
          <w:szCs w:val="20"/>
        </w:rPr>
        <w:t>t</w:t>
      </w:r>
      <w:proofErr w:type="spellEnd"/>
      <w:r w:rsidRPr="00D43E6F">
        <w:rPr>
          <w:rFonts w:ascii="cmmi8" w:hAnsi="cmmi8" w:cs="cmmi8"/>
          <w:i/>
          <w:iCs/>
          <w:sz w:val="20"/>
          <w:szCs w:val="20"/>
        </w:rPr>
        <w:t xml:space="preserve"> </w:t>
      </w:r>
      <w:r w:rsidRPr="00D43E6F">
        <w:rPr>
          <w:rFonts w:ascii="cmr10" w:hAnsi="cmr10" w:cs="cmr10"/>
          <w:sz w:val="20"/>
          <w:szCs w:val="20"/>
        </w:rPr>
        <w:t xml:space="preserve">+ </w:t>
      </w:r>
      <w:r w:rsidRPr="00D43E6F">
        <w:rPr>
          <w:rFonts w:ascii="cmmi10" w:hAnsi="cmmi10" w:cs="cmmi10"/>
          <w:i/>
          <w:iCs/>
          <w:sz w:val="20"/>
          <w:szCs w:val="20"/>
        </w:rPr>
        <w:t>²</w:t>
      </w:r>
      <w:r w:rsidRPr="00D43E6F">
        <w:rPr>
          <w:rFonts w:ascii="cmmi8" w:hAnsi="cmmi8" w:cs="cmmi8"/>
          <w:i/>
          <w:iCs/>
          <w:sz w:val="20"/>
          <w:szCs w:val="20"/>
        </w:rPr>
        <w:t>it</w:t>
      </w:r>
      <w:r w:rsidRPr="00D43E6F">
        <w:rPr>
          <w:rFonts w:ascii="cmmi10" w:hAnsi="cmmi10" w:cs="cmmi10"/>
          <w:i/>
          <w:iCs/>
          <w:sz w:val="20"/>
          <w:szCs w:val="20"/>
        </w:rPr>
        <w:t xml:space="preserve">, </w:t>
      </w:r>
      <w:r w:rsidRPr="00D43E6F">
        <w:rPr>
          <w:rFonts w:ascii="cmr10" w:hAnsi="cmr10" w:cs="cmr10"/>
          <w:sz w:val="20"/>
          <w:szCs w:val="20"/>
        </w:rPr>
        <w:t>(1)</w:t>
      </w:r>
    </w:p>
    <w:p w:rsidR="00F65FF9" w:rsidRPr="00D43E6F" w:rsidRDefault="001F0EC5" w:rsidP="00B20A69">
      <w:pPr>
        <w:autoSpaceDE w:val="0"/>
        <w:autoSpaceDN w:val="0"/>
        <w:adjustRightInd w:val="0"/>
        <w:spacing w:after="120" w:line="240" w:lineRule="auto"/>
        <w:rPr>
          <w:rFonts w:cstheme="minorHAnsi"/>
          <w:sz w:val="20"/>
          <w:szCs w:val="20"/>
        </w:rPr>
      </w:pPr>
      <w:proofErr w:type="gramStart"/>
      <w:r w:rsidRPr="00D43E6F">
        <w:rPr>
          <w:rFonts w:cstheme="minorHAnsi"/>
          <w:sz w:val="20"/>
          <w:szCs w:val="20"/>
        </w:rPr>
        <w:t>where</w:t>
      </w:r>
      <w:proofErr w:type="gramEnd"/>
      <w:r w:rsidRPr="00D43E6F">
        <w:rPr>
          <w:rFonts w:cstheme="minorHAnsi"/>
          <w:sz w:val="20"/>
          <w:szCs w:val="20"/>
        </w:rPr>
        <w:t xml:space="preserve"> “</w:t>
      </w:r>
      <w:proofErr w:type="spellStart"/>
      <w:r w:rsidRPr="00D43E6F">
        <w:rPr>
          <w:rFonts w:cstheme="minorHAnsi"/>
          <w:i/>
          <w:iCs/>
          <w:sz w:val="20"/>
          <w:szCs w:val="20"/>
        </w:rPr>
        <w:t>i</w:t>
      </w:r>
      <w:proofErr w:type="spellEnd"/>
      <w:r w:rsidRPr="00D43E6F">
        <w:rPr>
          <w:rFonts w:cstheme="minorHAnsi"/>
          <w:sz w:val="20"/>
          <w:szCs w:val="20"/>
        </w:rPr>
        <w:t>” is the program, and “</w:t>
      </w:r>
      <w:r w:rsidRPr="00D43E6F">
        <w:rPr>
          <w:rFonts w:cstheme="minorHAnsi"/>
          <w:i/>
          <w:iCs/>
          <w:sz w:val="20"/>
          <w:szCs w:val="20"/>
        </w:rPr>
        <w:t>t</w:t>
      </w:r>
      <w:r w:rsidRPr="00D43E6F">
        <w:rPr>
          <w:rFonts w:cstheme="minorHAnsi"/>
          <w:sz w:val="20"/>
          <w:szCs w:val="20"/>
        </w:rPr>
        <w:t xml:space="preserve">” is the year of the specific observation; </w:t>
      </w:r>
      <w:r w:rsidRPr="00D43E6F">
        <w:rPr>
          <w:rFonts w:cstheme="minorHAnsi"/>
          <w:i/>
          <w:iCs/>
          <w:sz w:val="20"/>
          <w:szCs w:val="20"/>
        </w:rPr>
        <w:t xml:space="preserve">Yi t   </w:t>
      </w:r>
      <w:r w:rsidRPr="00D43E6F">
        <w:rPr>
          <w:rFonts w:cstheme="minorHAnsi"/>
          <w:sz w:val="20"/>
          <w:szCs w:val="20"/>
        </w:rPr>
        <w:t xml:space="preserve">is the dependent variable; </w:t>
      </w:r>
      <w:proofErr w:type="spellStart"/>
      <w:r w:rsidRPr="00D43E6F">
        <w:rPr>
          <w:rFonts w:cstheme="minorHAnsi"/>
          <w:sz w:val="20"/>
          <w:szCs w:val="20"/>
        </w:rPr>
        <w:t>R</w:t>
      </w:r>
      <w:r w:rsidRPr="00D43E6F">
        <w:rPr>
          <w:rFonts w:cstheme="minorHAnsi"/>
          <w:i/>
          <w:iCs/>
          <w:sz w:val="20"/>
          <w:szCs w:val="20"/>
        </w:rPr>
        <w:t>it</w:t>
      </w:r>
      <w:proofErr w:type="spellEnd"/>
      <w:r w:rsidRPr="00D43E6F">
        <w:rPr>
          <w:rFonts w:cstheme="minorHAnsi"/>
          <w:i/>
          <w:iCs/>
          <w:sz w:val="20"/>
          <w:szCs w:val="20"/>
        </w:rPr>
        <w:t xml:space="preserve"> </w:t>
      </w:r>
      <w:r w:rsidRPr="00D43E6F">
        <w:rPr>
          <w:rFonts w:cstheme="minorHAnsi"/>
          <w:sz w:val="20"/>
          <w:szCs w:val="20"/>
        </w:rPr>
        <w:t>is the vector of 12 state-level po</w:t>
      </w:r>
      <w:r w:rsidR="00F65FF9" w:rsidRPr="00D43E6F">
        <w:rPr>
          <w:rFonts w:cstheme="minorHAnsi"/>
          <w:sz w:val="20"/>
          <w:szCs w:val="20"/>
        </w:rPr>
        <w:t>licies</w:t>
      </w:r>
      <w:r w:rsidRPr="00D43E6F">
        <w:rPr>
          <w:rFonts w:cstheme="minorHAnsi"/>
          <w:sz w:val="20"/>
          <w:szCs w:val="20"/>
        </w:rPr>
        <w:t>; and W</w:t>
      </w:r>
      <w:r w:rsidRPr="00D43E6F">
        <w:rPr>
          <w:rFonts w:cstheme="minorHAnsi"/>
          <w:i/>
          <w:iCs/>
          <w:sz w:val="20"/>
          <w:szCs w:val="20"/>
        </w:rPr>
        <w:t xml:space="preserve">it </w:t>
      </w:r>
      <w:r w:rsidRPr="00D43E6F">
        <w:rPr>
          <w:rFonts w:cstheme="minorHAnsi"/>
          <w:sz w:val="20"/>
          <w:szCs w:val="20"/>
        </w:rPr>
        <w:t>is the vector</w:t>
      </w:r>
      <w:r w:rsidR="00F65FF9" w:rsidRPr="00D43E6F">
        <w:rPr>
          <w:rFonts w:cstheme="minorHAnsi"/>
          <w:sz w:val="20"/>
          <w:szCs w:val="20"/>
        </w:rPr>
        <w:t xml:space="preserve"> </w:t>
      </w:r>
      <w:r w:rsidRPr="00D43E6F">
        <w:rPr>
          <w:rFonts w:cstheme="minorHAnsi"/>
          <w:sz w:val="20"/>
          <w:szCs w:val="20"/>
        </w:rPr>
        <w:t>of five economic and political control var</w:t>
      </w:r>
      <w:r w:rsidR="00F65FF9" w:rsidRPr="00D43E6F">
        <w:rPr>
          <w:rFonts w:cstheme="minorHAnsi"/>
          <w:sz w:val="20"/>
          <w:szCs w:val="20"/>
        </w:rPr>
        <w:t>iable</w:t>
      </w:r>
      <w:r w:rsidRPr="00D43E6F">
        <w:rPr>
          <w:rFonts w:cstheme="minorHAnsi"/>
          <w:sz w:val="20"/>
          <w:szCs w:val="20"/>
        </w:rPr>
        <w:t>; S</w:t>
      </w:r>
      <w:r w:rsidRPr="00D43E6F">
        <w:rPr>
          <w:rFonts w:cstheme="minorHAnsi"/>
          <w:i/>
          <w:iCs/>
          <w:sz w:val="20"/>
          <w:szCs w:val="20"/>
        </w:rPr>
        <w:t xml:space="preserve">i </w:t>
      </w:r>
      <w:r w:rsidR="00D43E6F" w:rsidRPr="00D43E6F">
        <w:rPr>
          <w:rFonts w:cstheme="minorHAnsi"/>
          <w:sz w:val="20"/>
          <w:szCs w:val="20"/>
        </w:rPr>
        <w:t xml:space="preserve">and </w:t>
      </w:r>
      <w:proofErr w:type="spellStart"/>
      <w:r w:rsidRPr="00D43E6F">
        <w:rPr>
          <w:rFonts w:cstheme="minorHAnsi"/>
          <w:sz w:val="20"/>
          <w:szCs w:val="20"/>
        </w:rPr>
        <w:t>T</w:t>
      </w:r>
      <w:r w:rsidRPr="00D43E6F">
        <w:rPr>
          <w:rFonts w:cstheme="minorHAnsi"/>
          <w:i/>
          <w:iCs/>
          <w:sz w:val="20"/>
          <w:szCs w:val="20"/>
        </w:rPr>
        <w:t>t</w:t>
      </w:r>
      <w:proofErr w:type="spellEnd"/>
      <w:r w:rsidRPr="00D43E6F">
        <w:rPr>
          <w:rFonts w:cstheme="minorHAnsi"/>
          <w:i/>
          <w:iCs/>
          <w:sz w:val="20"/>
          <w:szCs w:val="20"/>
        </w:rPr>
        <w:t xml:space="preserve"> </w:t>
      </w:r>
      <w:r w:rsidR="00D43E6F" w:rsidRPr="00D43E6F">
        <w:rPr>
          <w:rFonts w:cstheme="minorHAnsi"/>
          <w:sz w:val="20"/>
          <w:szCs w:val="20"/>
        </w:rPr>
        <w:t>are dummy variables representing state and time fixed-effects</w:t>
      </w:r>
      <w:r w:rsidRPr="00D43E6F">
        <w:rPr>
          <w:rFonts w:cstheme="minorHAnsi"/>
          <w:sz w:val="20"/>
          <w:szCs w:val="20"/>
        </w:rPr>
        <w:t>.</w:t>
      </w:r>
    </w:p>
    <w:p w:rsidR="001F0EC5" w:rsidRPr="00D43E6F" w:rsidRDefault="001F0EC5" w:rsidP="00F65FF9">
      <w:pPr>
        <w:autoSpaceDE w:val="0"/>
        <w:autoSpaceDN w:val="0"/>
        <w:adjustRightInd w:val="0"/>
        <w:spacing w:after="0" w:line="240" w:lineRule="auto"/>
        <w:rPr>
          <w:rFonts w:cstheme="minorHAnsi"/>
          <w:sz w:val="20"/>
          <w:szCs w:val="20"/>
        </w:rPr>
      </w:pPr>
      <w:r w:rsidRPr="00D43E6F">
        <w:rPr>
          <w:rFonts w:cstheme="minorHAnsi"/>
          <w:sz w:val="20"/>
          <w:szCs w:val="20"/>
        </w:rPr>
        <w:t>The dependent variable (</w:t>
      </w:r>
      <w:proofErr w:type="spellStart"/>
      <w:r w:rsidRPr="00D43E6F">
        <w:rPr>
          <w:rFonts w:cstheme="minorHAnsi"/>
          <w:sz w:val="20"/>
          <w:szCs w:val="20"/>
        </w:rPr>
        <w:t>Y</w:t>
      </w:r>
      <w:r w:rsidRPr="00D43E6F">
        <w:rPr>
          <w:rFonts w:cstheme="minorHAnsi"/>
          <w:i/>
          <w:iCs/>
          <w:sz w:val="20"/>
          <w:szCs w:val="20"/>
        </w:rPr>
        <w:t>it</w:t>
      </w:r>
      <w:proofErr w:type="spellEnd"/>
      <w:r w:rsidR="00D43E6F" w:rsidRPr="00D43E6F">
        <w:rPr>
          <w:rFonts w:cstheme="minorHAnsi"/>
          <w:sz w:val="20"/>
          <w:szCs w:val="20"/>
        </w:rPr>
        <w:t>) represents one of four variables under study. Two</w:t>
      </w:r>
      <w:r w:rsidRPr="00D43E6F">
        <w:rPr>
          <w:rFonts w:cstheme="minorHAnsi"/>
          <w:sz w:val="20"/>
          <w:szCs w:val="20"/>
        </w:rPr>
        <w:t xml:space="preserve"> of these correspond</w:t>
      </w:r>
      <w:r w:rsidR="00F65FF9" w:rsidRPr="00D43E6F">
        <w:rPr>
          <w:rFonts w:cstheme="minorHAnsi"/>
          <w:sz w:val="20"/>
          <w:szCs w:val="20"/>
        </w:rPr>
        <w:t xml:space="preserve"> </w:t>
      </w:r>
      <w:r w:rsidRPr="00D43E6F">
        <w:rPr>
          <w:rFonts w:cstheme="minorHAnsi"/>
          <w:sz w:val="20"/>
          <w:szCs w:val="20"/>
        </w:rPr>
        <w:t xml:space="preserve">to cost (in $/W) and the rest correspond to the capacity installed </w:t>
      </w:r>
      <w:r w:rsidR="006D0341" w:rsidRPr="00D43E6F">
        <w:rPr>
          <w:rFonts w:cstheme="minorHAnsi"/>
          <w:sz w:val="20"/>
          <w:szCs w:val="20"/>
        </w:rPr>
        <w:t>(in W</w:t>
      </w:r>
      <w:r w:rsidR="00D43E6F" w:rsidRPr="00D43E6F">
        <w:rPr>
          <w:rFonts w:cstheme="minorHAnsi"/>
          <w:sz w:val="20"/>
          <w:szCs w:val="20"/>
        </w:rPr>
        <w:t>atts</w:t>
      </w:r>
      <w:r w:rsidR="006D0341" w:rsidRPr="00D43E6F">
        <w:rPr>
          <w:rFonts w:cstheme="minorHAnsi"/>
          <w:sz w:val="20"/>
          <w:szCs w:val="20"/>
        </w:rPr>
        <w:t xml:space="preserve">) </w:t>
      </w:r>
      <w:r w:rsidRPr="00D43E6F">
        <w:rPr>
          <w:rFonts w:cstheme="minorHAnsi"/>
          <w:sz w:val="20"/>
          <w:szCs w:val="20"/>
        </w:rPr>
        <w:t>in a year. Within</w:t>
      </w:r>
      <w:r w:rsidR="00F65FF9" w:rsidRPr="00D43E6F">
        <w:rPr>
          <w:rFonts w:cstheme="minorHAnsi"/>
          <w:sz w:val="20"/>
          <w:szCs w:val="20"/>
        </w:rPr>
        <w:t xml:space="preserve"> </w:t>
      </w:r>
      <w:r w:rsidRPr="00D43E6F">
        <w:rPr>
          <w:rFonts w:cstheme="minorHAnsi"/>
          <w:sz w:val="20"/>
          <w:szCs w:val="20"/>
        </w:rPr>
        <w:t>each category, these variables correspond to the resi</w:t>
      </w:r>
      <w:r w:rsidR="00D43E6F" w:rsidRPr="00D43E6F">
        <w:rPr>
          <w:rFonts w:cstheme="minorHAnsi"/>
          <w:sz w:val="20"/>
          <w:szCs w:val="20"/>
        </w:rPr>
        <w:t>dential and commercial</w:t>
      </w:r>
      <w:r w:rsidRPr="00D43E6F">
        <w:rPr>
          <w:rFonts w:cstheme="minorHAnsi"/>
          <w:sz w:val="20"/>
          <w:szCs w:val="20"/>
        </w:rPr>
        <w:t xml:space="preserve"> sector. The</w:t>
      </w:r>
      <w:r w:rsidR="00F65FF9" w:rsidRPr="00D43E6F">
        <w:rPr>
          <w:rFonts w:cstheme="minorHAnsi"/>
          <w:sz w:val="20"/>
          <w:szCs w:val="20"/>
        </w:rPr>
        <w:t xml:space="preserve"> </w:t>
      </w:r>
      <w:r w:rsidRPr="00D43E6F">
        <w:rPr>
          <w:rFonts w:cstheme="minorHAnsi"/>
          <w:sz w:val="20"/>
          <w:szCs w:val="20"/>
        </w:rPr>
        <w:t>dependent variables (</w:t>
      </w:r>
      <w:proofErr w:type="spellStart"/>
      <w:r w:rsidRPr="00D43E6F">
        <w:rPr>
          <w:rFonts w:cstheme="minorHAnsi"/>
          <w:sz w:val="20"/>
          <w:szCs w:val="20"/>
        </w:rPr>
        <w:t>Y</w:t>
      </w:r>
      <w:r w:rsidRPr="00D43E6F">
        <w:rPr>
          <w:rFonts w:cstheme="minorHAnsi"/>
          <w:i/>
          <w:iCs/>
          <w:sz w:val="20"/>
          <w:szCs w:val="20"/>
        </w:rPr>
        <w:t>it</w:t>
      </w:r>
      <w:proofErr w:type="spellEnd"/>
      <w:r w:rsidRPr="00D43E6F">
        <w:rPr>
          <w:rFonts w:cstheme="minorHAnsi"/>
          <w:sz w:val="20"/>
          <w:szCs w:val="20"/>
        </w:rPr>
        <w:t>) and control variables (W</w:t>
      </w:r>
      <w:r w:rsidRPr="00D43E6F">
        <w:rPr>
          <w:rFonts w:cstheme="minorHAnsi"/>
          <w:i/>
          <w:iCs/>
          <w:sz w:val="20"/>
          <w:szCs w:val="20"/>
        </w:rPr>
        <w:t>it</w:t>
      </w:r>
      <w:r w:rsidRPr="00D43E6F">
        <w:rPr>
          <w:rFonts w:cstheme="minorHAnsi"/>
          <w:sz w:val="20"/>
          <w:szCs w:val="20"/>
        </w:rPr>
        <w:t>) are continuous variables, whereas the policy</w:t>
      </w:r>
      <w:r w:rsidR="00F65FF9" w:rsidRPr="00D43E6F">
        <w:rPr>
          <w:rFonts w:cstheme="minorHAnsi"/>
          <w:sz w:val="20"/>
          <w:szCs w:val="20"/>
        </w:rPr>
        <w:t xml:space="preserve"> </w:t>
      </w:r>
      <w:r w:rsidRPr="00D43E6F">
        <w:rPr>
          <w:rFonts w:cstheme="minorHAnsi"/>
          <w:sz w:val="20"/>
          <w:szCs w:val="20"/>
        </w:rPr>
        <w:t>variables (</w:t>
      </w:r>
      <w:proofErr w:type="spellStart"/>
      <w:r w:rsidRPr="00D43E6F">
        <w:rPr>
          <w:rFonts w:cstheme="minorHAnsi"/>
          <w:sz w:val="20"/>
          <w:szCs w:val="20"/>
        </w:rPr>
        <w:t>R</w:t>
      </w:r>
      <w:r w:rsidRPr="00D43E6F">
        <w:rPr>
          <w:rFonts w:cstheme="minorHAnsi"/>
          <w:i/>
          <w:iCs/>
          <w:sz w:val="20"/>
          <w:szCs w:val="20"/>
        </w:rPr>
        <w:t>it</w:t>
      </w:r>
      <w:proofErr w:type="spellEnd"/>
      <w:r w:rsidRPr="00D43E6F">
        <w:rPr>
          <w:rFonts w:cstheme="minorHAnsi"/>
          <w:sz w:val="20"/>
          <w:szCs w:val="20"/>
        </w:rPr>
        <w:t>) are coded as binary variables: a variable corresponding to a policy</w:t>
      </w:r>
      <w:r w:rsidR="00F65FF9" w:rsidRPr="00D43E6F">
        <w:rPr>
          <w:rFonts w:cstheme="minorHAnsi"/>
          <w:sz w:val="20"/>
          <w:szCs w:val="20"/>
        </w:rPr>
        <w:t xml:space="preserve"> </w:t>
      </w:r>
      <w:r w:rsidRPr="00D43E6F">
        <w:rPr>
          <w:rFonts w:cstheme="minorHAnsi"/>
          <w:sz w:val="20"/>
          <w:szCs w:val="20"/>
        </w:rPr>
        <w:t>equals “1” if the policy is present, and “0” in its absence. Inclusion of the fixed-effects avoids heterogeneity bias that would have occurred from imposing</w:t>
      </w:r>
      <w:r w:rsidR="00F65FF9" w:rsidRPr="00D43E6F">
        <w:rPr>
          <w:rFonts w:cstheme="minorHAnsi"/>
          <w:sz w:val="20"/>
          <w:szCs w:val="20"/>
        </w:rPr>
        <w:t xml:space="preserve"> </w:t>
      </w:r>
      <w:r w:rsidRPr="00D43E6F">
        <w:rPr>
          <w:rFonts w:cstheme="minorHAnsi"/>
          <w:sz w:val="20"/>
          <w:szCs w:val="20"/>
        </w:rPr>
        <w:t>a common constant term. Program fixed-effects (S</w:t>
      </w:r>
      <w:r w:rsidRPr="00D43E6F">
        <w:rPr>
          <w:rFonts w:cstheme="minorHAnsi"/>
          <w:i/>
          <w:iCs/>
          <w:sz w:val="20"/>
          <w:szCs w:val="20"/>
        </w:rPr>
        <w:t>i</w:t>
      </w:r>
      <w:r w:rsidRPr="00D43E6F">
        <w:rPr>
          <w:rFonts w:cstheme="minorHAnsi"/>
          <w:sz w:val="20"/>
          <w:szCs w:val="20"/>
        </w:rPr>
        <w:t>) are included in the regressions to control for</w:t>
      </w:r>
      <w:r w:rsidR="00F65FF9" w:rsidRPr="00D43E6F">
        <w:rPr>
          <w:rFonts w:cstheme="minorHAnsi"/>
          <w:sz w:val="20"/>
          <w:szCs w:val="20"/>
        </w:rPr>
        <w:t xml:space="preserve"> </w:t>
      </w:r>
      <w:r w:rsidRPr="00D43E6F">
        <w:rPr>
          <w:rFonts w:cstheme="minorHAnsi"/>
          <w:sz w:val="20"/>
          <w:szCs w:val="20"/>
        </w:rPr>
        <w:t>two factors: capacity installation prior to 1998 in a state and factors that differ across programs</w:t>
      </w:r>
      <w:r w:rsidR="00F65FF9" w:rsidRPr="00D43E6F">
        <w:rPr>
          <w:rFonts w:cstheme="minorHAnsi"/>
          <w:sz w:val="20"/>
          <w:szCs w:val="20"/>
        </w:rPr>
        <w:t xml:space="preserve"> </w:t>
      </w:r>
      <w:r w:rsidRPr="00D43E6F">
        <w:rPr>
          <w:rFonts w:cstheme="minorHAnsi"/>
          <w:sz w:val="20"/>
          <w:szCs w:val="20"/>
        </w:rPr>
        <w:t>but are constant over time. Year dummy variables (</w:t>
      </w:r>
      <w:proofErr w:type="spellStart"/>
      <w:r w:rsidRPr="00D43E6F">
        <w:rPr>
          <w:rFonts w:cstheme="minorHAnsi"/>
          <w:sz w:val="20"/>
          <w:szCs w:val="20"/>
        </w:rPr>
        <w:t>T</w:t>
      </w:r>
      <w:r w:rsidRPr="00D43E6F">
        <w:rPr>
          <w:rFonts w:cstheme="minorHAnsi"/>
          <w:i/>
          <w:iCs/>
          <w:sz w:val="20"/>
          <w:szCs w:val="20"/>
        </w:rPr>
        <w:t>t</w:t>
      </w:r>
      <w:proofErr w:type="spellEnd"/>
      <w:r w:rsidRPr="00D43E6F">
        <w:rPr>
          <w:rFonts w:cstheme="minorHAnsi"/>
          <w:sz w:val="20"/>
          <w:szCs w:val="20"/>
        </w:rPr>
        <w:t>) control for national trends, such as general</w:t>
      </w:r>
      <w:r w:rsidR="00F65FF9" w:rsidRPr="00D43E6F">
        <w:rPr>
          <w:rFonts w:cstheme="minorHAnsi"/>
          <w:sz w:val="20"/>
          <w:szCs w:val="20"/>
        </w:rPr>
        <w:t xml:space="preserve"> </w:t>
      </w:r>
      <w:r w:rsidRPr="00D43E6F">
        <w:rPr>
          <w:rFonts w:cstheme="minorHAnsi"/>
          <w:sz w:val="20"/>
          <w:szCs w:val="20"/>
        </w:rPr>
        <w:t>solar energy economic viability and federal policy impacts.</w:t>
      </w:r>
    </w:p>
    <w:p w:rsidR="00581BA3" w:rsidRPr="00CD0F3C" w:rsidRDefault="00581BA3" w:rsidP="00B20A69">
      <w:pPr>
        <w:pStyle w:val="Heading1"/>
        <w:spacing w:before="240"/>
        <w:rPr>
          <w:sz w:val="24"/>
        </w:rPr>
      </w:pPr>
      <w:r w:rsidRPr="00CD0F3C">
        <w:rPr>
          <w:sz w:val="24"/>
        </w:rPr>
        <w:lastRenderedPageBreak/>
        <w:t>Results</w:t>
      </w:r>
      <w:r w:rsidR="00A76998">
        <w:rPr>
          <w:sz w:val="24"/>
        </w:rPr>
        <w:t xml:space="preserve"> and Conclusions</w:t>
      </w:r>
    </w:p>
    <w:p w:rsidR="00B20A69" w:rsidRDefault="008548D9" w:rsidP="00B20A69">
      <w:pPr>
        <w:autoSpaceDE w:val="0"/>
        <w:autoSpaceDN w:val="0"/>
        <w:adjustRightInd w:val="0"/>
        <w:spacing w:after="120" w:line="240" w:lineRule="auto"/>
        <w:rPr>
          <w:rFonts w:cstheme="minorHAnsi"/>
          <w:sz w:val="20"/>
        </w:rPr>
      </w:pPr>
      <w:r w:rsidRPr="00BE5AA7">
        <w:rPr>
          <w:rFonts w:cstheme="minorHAnsi"/>
          <w:sz w:val="20"/>
        </w:rPr>
        <w:t xml:space="preserve">We show that cash incentives increase the deployment of commercial systems. We also show that interconnection standards potentially promote the deployment of residential systems, whereas property tax incentives potentially foster the deployment of commercial systems. </w:t>
      </w:r>
    </w:p>
    <w:p w:rsidR="00B20A69" w:rsidRDefault="008548D9" w:rsidP="00B20A69">
      <w:pPr>
        <w:autoSpaceDE w:val="0"/>
        <w:autoSpaceDN w:val="0"/>
        <w:adjustRightInd w:val="0"/>
        <w:spacing w:after="120" w:line="240" w:lineRule="auto"/>
        <w:rPr>
          <w:rFonts w:cstheme="minorHAnsi"/>
          <w:sz w:val="20"/>
        </w:rPr>
      </w:pPr>
      <w:r w:rsidRPr="00BE5AA7">
        <w:rPr>
          <w:rFonts w:cstheme="minorHAnsi"/>
          <w:sz w:val="20"/>
        </w:rPr>
        <w:t xml:space="preserve">We next examine the impact of policies on the cost of solar PV, and show that the key policies have different effects on costs. </w:t>
      </w:r>
      <w:r w:rsidR="004F37E2">
        <w:rPr>
          <w:rFonts w:cstheme="minorHAnsi"/>
          <w:sz w:val="20"/>
        </w:rPr>
        <w:t>We find that t</w:t>
      </w:r>
      <w:r w:rsidRPr="00BE5AA7">
        <w:rPr>
          <w:rFonts w:cstheme="minorHAnsi"/>
          <w:sz w:val="20"/>
        </w:rPr>
        <w:t>he cost of residential systems declines faster if there are cash or p</w:t>
      </w:r>
      <w:r w:rsidR="006349E5" w:rsidRPr="00BE5AA7">
        <w:rPr>
          <w:rFonts w:cstheme="minorHAnsi"/>
          <w:sz w:val="20"/>
        </w:rPr>
        <w:t>roperty tax incentives in place;</w:t>
      </w:r>
      <w:r w:rsidRPr="00BE5AA7">
        <w:rPr>
          <w:rFonts w:cstheme="minorHAnsi"/>
          <w:sz w:val="20"/>
        </w:rPr>
        <w:t xml:space="preserve"> whereas the presence of interconnection standards potentially accelerates the decline in commercial system costs. Further, states with a renewable portfolio standard see residential system costs potentially declining slower than states without such a policy.</w:t>
      </w:r>
      <w:r w:rsidR="00BE5AA7" w:rsidRPr="00BE5AA7">
        <w:rPr>
          <w:rFonts w:cstheme="minorHAnsi"/>
          <w:sz w:val="20"/>
        </w:rPr>
        <w:t xml:space="preserve"> </w:t>
      </w:r>
    </w:p>
    <w:p w:rsidR="00A76998" w:rsidRPr="00184CF2" w:rsidRDefault="00BE5AA7" w:rsidP="00BE5AA7">
      <w:pPr>
        <w:autoSpaceDE w:val="0"/>
        <w:autoSpaceDN w:val="0"/>
        <w:adjustRightInd w:val="0"/>
        <w:spacing w:after="0" w:line="240" w:lineRule="auto"/>
        <w:rPr>
          <w:rFonts w:cstheme="minorHAnsi"/>
          <w:sz w:val="20"/>
          <w:szCs w:val="20"/>
        </w:rPr>
      </w:pPr>
      <w:r w:rsidRPr="00184CF2">
        <w:rPr>
          <w:rFonts w:cstheme="minorHAnsi"/>
          <w:sz w:val="20"/>
          <w:szCs w:val="20"/>
        </w:rPr>
        <w:t>As solar PV is at the brink of becoming cost competitive, our findings assist regulators in fine-tuning their set of support tools.</w:t>
      </w:r>
      <w:r w:rsidR="00184CF2" w:rsidRPr="00184CF2">
        <w:rPr>
          <w:rFonts w:cstheme="minorHAnsi"/>
          <w:sz w:val="20"/>
          <w:szCs w:val="20"/>
        </w:rPr>
        <w:t xml:space="preserve"> Some questions are left for future research</w:t>
      </w:r>
      <w:r w:rsidR="00184CF2">
        <w:rPr>
          <w:rFonts w:cstheme="minorHAnsi"/>
          <w:sz w:val="20"/>
          <w:szCs w:val="20"/>
        </w:rPr>
        <w:t>, however</w:t>
      </w:r>
      <w:r w:rsidR="00184CF2" w:rsidRPr="00184CF2">
        <w:rPr>
          <w:rFonts w:cstheme="minorHAnsi"/>
          <w:sz w:val="20"/>
          <w:szCs w:val="20"/>
        </w:rPr>
        <w:t>. First, in the residential sector, why does econometric modeling reveal significant links between some policies and BOS costs while the connection between these policies and installed solar PV is somewhat dubious? Second, our d</w:t>
      </w:r>
      <w:r w:rsidR="00184CF2">
        <w:rPr>
          <w:rFonts w:cstheme="minorHAnsi"/>
          <w:sz w:val="20"/>
          <w:szCs w:val="20"/>
        </w:rPr>
        <w:t xml:space="preserve">ata allows us to </w:t>
      </w:r>
      <w:r w:rsidR="00184CF2" w:rsidRPr="00184CF2">
        <w:rPr>
          <w:rFonts w:cstheme="minorHAnsi"/>
          <w:sz w:val="20"/>
          <w:szCs w:val="20"/>
        </w:rPr>
        <w:t>detect state-level policy impact only after programs start, and</w:t>
      </w:r>
      <w:r w:rsidR="00184CF2">
        <w:rPr>
          <w:rFonts w:cstheme="minorHAnsi"/>
          <w:sz w:val="20"/>
          <w:szCs w:val="20"/>
        </w:rPr>
        <w:t xml:space="preserve"> </w:t>
      </w:r>
      <w:r w:rsidR="00184CF2" w:rsidRPr="00184CF2">
        <w:rPr>
          <w:rFonts w:cstheme="minorHAnsi"/>
          <w:sz w:val="20"/>
          <w:szCs w:val="20"/>
        </w:rPr>
        <w:t>some of the possible impacts may remain undetected. In a perfect world, we had access to data</w:t>
      </w:r>
      <w:r w:rsidR="00184CF2">
        <w:rPr>
          <w:rFonts w:cstheme="minorHAnsi"/>
          <w:sz w:val="20"/>
          <w:szCs w:val="20"/>
        </w:rPr>
        <w:t xml:space="preserve"> </w:t>
      </w:r>
      <w:r w:rsidR="00184CF2" w:rsidRPr="00184CF2">
        <w:rPr>
          <w:rFonts w:cstheme="minorHAnsi"/>
          <w:sz w:val="20"/>
          <w:szCs w:val="20"/>
        </w:rPr>
        <w:t>outside the programs, and the scope and credibility of our results would further improve.</w:t>
      </w:r>
    </w:p>
    <w:p w:rsidR="00581BA3" w:rsidRPr="00CD0F3C" w:rsidRDefault="00581BA3" w:rsidP="00B20A69">
      <w:pPr>
        <w:pStyle w:val="Heading1"/>
        <w:spacing w:before="240"/>
        <w:rPr>
          <w:sz w:val="24"/>
        </w:rPr>
      </w:pPr>
      <w:r w:rsidRPr="00CD0F3C">
        <w:rPr>
          <w:sz w:val="24"/>
        </w:rPr>
        <w:t>References</w:t>
      </w:r>
    </w:p>
    <w:p w:rsidR="006349E5" w:rsidRPr="00CD0F3C" w:rsidRDefault="006349E5" w:rsidP="00CD0F3C">
      <w:pPr>
        <w:autoSpaceDE w:val="0"/>
        <w:autoSpaceDN w:val="0"/>
        <w:adjustRightInd w:val="0"/>
        <w:spacing w:after="120" w:line="240" w:lineRule="auto"/>
        <w:rPr>
          <w:rFonts w:cstheme="minorHAnsi"/>
          <w:sz w:val="20"/>
        </w:rPr>
      </w:pPr>
      <w:r w:rsidRPr="00CD0F3C">
        <w:rPr>
          <w:rFonts w:cstheme="minorHAnsi"/>
          <w:sz w:val="20"/>
        </w:rPr>
        <w:t xml:space="preserve">Barbose G, </w:t>
      </w:r>
      <w:proofErr w:type="spellStart"/>
      <w:r w:rsidRPr="00CD0F3C">
        <w:rPr>
          <w:rFonts w:cstheme="minorHAnsi"/>
          <w:sz w:val="20"/>
        </w:rPr>
        <w:t>Dargmouth</w:t>
      </w:r>
      <w:proofErr w:type="spellEnd"/>
      <w:r w:rsidRPr="00CD0F3C">
        <w:rPr>
          <w:rFonts w:cstheme="minorHAnsi"/>
          <w:sz w:val="20"/>
        </w:rPr>
        <w:t xml:space="preserve"> N, Wiser R, 2010. </w:t>
      </w:r>
      <w:proofErr w:type="gramStart"/>
      <w:r w:rsidRPr="00CD0F3C">
        <w:rPr>
          <w:rFonts w:cstheme="minorHAnsi"/>
          <w:sz w:val="20"/>
        </w:rPr>
        <w:t xml:space="preserve">“Tracking the Sun III: The Installed Cost of </w:t>
      </w:r>
      <w:proofErr w:type="spellStart"/>
      <w:r w:rsidRPr="00CD0F3C">
        <w:rPr>
          <w:rFonts w:cstheme="minorHAnsi"/>
          <w:sz w:val="20"/>
        </w:rPr>
        <w:t>Photovoltaics</w:t>
      </w:r>
      <w:proofErr w:type="spellEnd"/>
      <w:r w:rsidRPr="00CD0F3C">
        <w:rPr>
          <w:rFonts w:cstheme="minorHAnsi"/>
          <w:sz w:val="20"/>
        </w:rPr>
        <w:t xml:space="preserve"> in the U.S. from 1998-2009.”</w:t>
      </w:r>
      <w:proofErr w:type="gramEnd"/>
      <w:r w:rsidRPr="00CD0F3C">
        <w:rPr>
          <w:rFonts w:cstheme="minorHAnsi"/>
          <w:sz w:val="20"/>
        </w:rPr>
        <w:t xml:space="preserve"> </w:t>
      </w:r>
      <w:r w:rsidRPr="00CD0F3C">
        <w:rPr>
          <w:rFonts w:cstheme="minorHAnsi"/>
          <w:i/>
          <w:iCs/>
          <w:sz w:val="20"/>
        </w:rPr>
        <w:t>LBNL Technical Report</w:t>
      </w:r>
      <w:r w:rsidRPr="00CD0F3C">
        <w:rPr>
          <w:rFonts w:cstheme="minorHAnsi"/>
          <w:sz w:val="20"/>
        </w:rPr>
        <w:t>: LBNL-4121E.</w:t>
      </w:r>
    </w:p>
    <w:p w:rsidR="006306F9" w:rsidRPr="00CD0F3C" w:rsidRDefault="006306F9" w:rsidP="00CD0F3C">
      <w:pPr>
        <w:autoSpaceDE w:val="0"/>
        <w:autoSpaceDN w:val="0"/>
        <w:adjustRightInd w:val="0"/>
        <w:spacing w:after="120" w:line="240" w:lineRule="auto"/>
        <w:rPr>
          <w:rFonts w:cstheme="minorHAnsi"/>
          <w:sz w:val="20"/>
        </w:rPr>
      </w:pPr>
      <w:proofErr w:type="spellStart"/>
      <w:r w:rsidRPr="00CD0F3C">
        <w:rPr>
          <w:rFonts w:cstheme="minorHAnsi"/>
          <w:sz w:val="20"/>
        </w:rPr>
        <w:t>Carley</w:t>
      </w:r>
      <w:proofErr w:type="spellEnd"/>
      <w:r w:rsidRPr="00CD0F3C">
        <w:rPr>
          <w:rFonts w:cstheme="minorHAnsi"/>
          <w:sz w:val="20"/>
        </w:rPr>
        <w:t xml:space="preserve"> S, 2009. “State renewable energy electricity policies: An empirical evaluation of effectiveness.”</w:t>
      </w:r>
      <w:r w:rsidRPr="00CD0F3C">
        <w:rPr>
          <w:rFonts w:cstheme="minorHAnsi"/>
          <w:i/>
          <w:iCs/>
          <w:sz w:val="20"/>
        </w:rPr>
        <w:t>Energy Policy</w:t>
      </w:r>
      <w:r w:rsidRPr="00CD0F3C">
        <w:rPr>
          <w:rFonts w:cstheme="minorHAnsi"/>
          <w:sz w:val="20"/>
        </w:rPr>
        <w:t>, 37(8): 3071- 3081.</w:t>
      </w:r>
    </w:p>
    <w:p w:rsidR="006349E5" w:rsidRPr="00CD0F3C" w:rsidRDefault="006349E5" w:rsidP="00CD0F3C">
      <w:pPr>
        <w:autoSpaceDE w:val="0"/>
        <w:autoSpaceDN w:val="0"/>
        <w:adjustRightInd w:val="0"/>
        <w:spacing w:after="120" w:line="240" w:lineRule="auto"/>
        <w:rPr>
          <w:rFonts w:cstheme="minorHAnsi"/>
          <w:sz w:val="20"/>
        </w:rPr>
      </w:pPr>
      <w:proofErr w:type="spellStart"/>
      <w:proofErr w:type="gramStart"/>
      <w:r w:rsidRPr="00CD0F3C">
        <w:rPr>
          <w:rFonts w:cstheme="minorHAnsi"/>
          <w:sz w:val="20"/>
        </w:rPr>
        <w:t>Croucher</w:t>
      </w:r>
      <w:proofErr w:type="spellEnd"/>
      <w:r w:rsidRPr="00CD0F3C">
        <w:rPr>
          <w:rFonts w:cstheme="minorHAnsi"/>
          <w:sz w:val="20"/>
        </w:rPr>
        <w:t xml:space="preserve"> M, 2010.</w:t>
      </w:r>
      <w:proofErr w:type="gramEnd"/>
      <w:r w:rsidRPr="00CD0F3C">
        <w:rPr>
          <w:rFonts w:cstheme="minorHAnsi"/>
          <w:sz w:val="20"/>
        </w:rPr>
        <w:t xml:space="preserve"> </w:t>
      </w:r>
      <w:proofErr w:type="gramStart"/>
      <w:r w:rsidRPr="00CD0F3C">
        <w:rPr>
          <w:rFonts w:cstheme="minorHAnsi"/>
          <w:sz w:val="20"/>
        </w:rPr>
        <w:t>“Optimal Deployment of Solar Index.”</w:t>
      </w:r>
      <w:proofErr w:type="gramEnd"/>
      <w:r w:rsidRPr="00CD0F3C">
        <w:rPr>
          <w:rFonts w:cstheme="minorHAnsi"/>
          <w:sz w:val="20"/>
        </w:rPr>
        <w:t xml:space="preserve"> </w:t>
      </w:r>
      <w:r w:rsidRPr="00CD0F3C">
        <w:rPr>
          <w:rFonts w:cstheme="minorHAnsi"/>
          <w:i/>
          <w:iCs/>
          <w:sz w:val="20"/>
        </w:rPr>
        <w:t>The Electricity Journal</w:t>
      </w:r>
      <w:r w:rsidRPr="00CD0F3C">
        <w:rPr>
          <w:rFonts w:cstheme="minorHAnsi"/>
          <w:sz w:val="20"/>
        </w:rPr>
        <w:t>, 23(9): 75-81.</w:t>
      </w:r>
    </w:p>
    <w:p w:rsidR="006306F9" w:rsidRPr="00CD0F3C" w:rsidRDefault="006306F9" w:rsidP="00CD0F3C">
      <w:pPr>
        <w:autoSpaceDE w:val="0"/>
        <w:autoSpaceDN w:val="0"/>
        <w:adjustRightInd w:val="0"/>
        <w:spacing w:after="120" w:line="240" w:lineRule="auto"/>
        <w:rPr>
          <w:rFonts w:cstheme="minorHAnsi"/>
          <w:sz w:val="20"/>
        </w:rPr>
      </w:pPr>
      <w:r w:rsidRPr="00CD0F3C">
        <w:rPr>
          <w:rFonts w:cstheme="minorHAnsi"/>
          <w:sz w:val="20"/>
        </w:rPr>
        <w:t xml:space="preserve">Mortensen J, 2001. “Factors Associated with Photovoltaic System Costs.” </w:t>
      </w:r>
      <w:r w:rsidRPr="00CD0F3C">
        <w:rPr>
          <w:rFonts w:cstheme="minorHAnsi"/>
          <w:i/>
          <w:iCs/>
          <w:sz w:val="20"/>
        </w:rPr>
        <w:t>NREL Technical Report</w:t>
      </w:r>
      <w:r w:rsidRPr="00CD0F3C">
        <w:rPr>
          <w:rFonts w:cstheme="minorHAnsi"/>
          <w:sz w:val="20"/>
        </w:rPr>
        <w:t>: NREL/TP-620-29649.</w:t>
      </w:r>
    </w:p>
    <w:p w:rsidR="006306F9" w:rsidRPr="00CD0F3C" w:rsidRDefault="006306F9" w:rsidP="00CD0F3C">
      <w:pPr>
        <w:autoSpaceDE w:val="0"/>
        <w:autoSpaceDN w:val="0"/>
        <w:adjustRightInd w:val="0"/>
        <w:spacing w:after="120" w:line="240" w:lineRule="auto"/>
        <w:rPr>
          <w:rFonts w:cstheme="minorHAnsi"/>
          <w:sz w:val="20"/>
        </w:rPr>
      </w:pPr>
      <w:proofErr w:type="spellStart"/>
      <w:r w:rsidRPr="00CD0F3C">
        <w:rPr>
          <w:rFonts w:cstheme="minorHAnsi"/>
          <w:sz w:val="20"/>
        </w:rPr>
        <w:t>Menz</w:t>
      </w:r>
      <w:proofErr w:type="spellEnd"/>
      <w:r w:rsidRPr="00CD0F3C">
        <w:rPr>
          <w:rFonts w:cstheme="minorHAnsi"/>
          <w:sz w:val="20"/>
        </w:rPr>
        <w:t xml:space="preserve">, F. C., and </w:t>
      </w:r>
      <w:proofErr w:type="spellStart"/>
      <w:r w:rsidRPr="00CD0F3C">
        <w:rPr>
          <w:rFonts w:cstheme="minorHAnsi"/>
          <w:sz w:val="20"/>
        </w:rPr>
        <w:t>Vachon</w:t>
      </w:r>
      <w:proofErr w:type="spellEnd"/>
      <w:r w:rsidRPr="00CD0F3C">
        <w:rPr>
          <w:rFonts w:cstheme="minorHAnsi"/>
          <w:sz w:val="20"/>
        </w:rPr>
        <w:t xml:space="preserve">, S., 2006. “The Effectiveness of Different Policy Regimes for Promoting Wind Power: Experiences from the States.” </w:t>
      </w:r>
      <w:r w:rsidRPr="00CD0F3C">
        <w:rPr>
          <w:rFonts w:cstheme="minorHAnsi"/>
          <w:i/>
          <w:iCs/>
          <w:sz w:val="20"/>
        </w:rPr>
        <w:t>Energy Policy</w:t>
      </w:r>
      <w:r w:rsidRPr="00CD0F3C">
        <w:rPr>
          <w:rFonts w:cstheme="minorHAnsi"/>
          <w:sz w:val="20"/>
        </w:rPr>
        <w:t>, 34(14): 1786-1796.</w:t>
      </w:r>
    </w:p>
    <w:p w:rsidR="006306F9" w:rsidRPr="00CD0F3C" w:rsidRDefault="006306F9" w:rsidP="00CD0F3C">
      <w:pPr>
        <w:autoSpaceDE w:val="0"/>
        <w:autoSpaceDN w:val="0"/>
        <w:adjustRightInd w:val="0"/>
        <w:spacing w:after="120" w:line="240" w:lineRule="auto"/>
        <w:rPr>
          <w:rFonts w:cstheme="minorHAnsi"/>
          <w:sz w:val="20"/>
        </w:rPr>
      </w:pPr>
      <w:r w:rsidRPr="00CD0F3C">
        <w:rPr>
          <w:rFonts w:cstheme="minorHAnsi"/>
          <w:sz w:val="20"/>
        </w:rPr>
        <w:t xml:space="preserve">Nemet G F, 2006. “Beyond the learning curve: factors influencing cost reductions in </w:t>
      </w:r>
      <w:proofErr w:type="spellStart"/>
      <w:r w:rsidRPr="00CD0F3C">
        <w:rPr>
          <w:rFonts w:cstheme="minorHAnsi"/>
          <w:sz w:val="20"/>
        </w:rPr>
        <w:t>photovoltaics</w:t>
      </w:r>
      <w:proofErr w:type="spellEnd"/>
      <w:r w:rsidRPr="00CD0F3C">
        <w:rPr>
          <w:rFonts w:cstheme="minorHAnsi"/>
          <w:sz w:val="20"/>
        </w:rPr>
        <w:t xml:space="preserve">.” </w:t>
      </w:r>
      <w:r w:rsidRPr="00CD0F3C">
        <w:rPr>
          <w:rFonts w:cstheme="minorHAnsi"/>
          <w:i/>
          <w:iCs/>
          <w:sz w:val="20"/>
        </w:rPr>
        <w:t>Energy Policy</w:t>
      </w:r>
      <w:r w:rsidRPr="00CD0F3C">
        <w:rPr>
          <w:rFonts w:cstheme="minorHAnsi"/>
          <w:sz w:val="20"/>
        </w:rPr>
        <w:t>, 34(17): 3218-3232.</w:t>
      </w:r>
    </w:p>
    <w:p w:rsidR="006306F9" w:rsidRPr="00CD0F3C" w:rsidRDefault="006306F9" w:rsidP="00CD0F3C">
      <w:pPr>
        <w:autoSpaceDE w:val="0"/>
        <w:autoSpaceDN w:val="0"/>
        <w:adjustRightInd w:val="0"/>
        <w:spacing w:after="120" w:line="240" w:lineRule="auto"/>
        <w:rPr>
          <w:rFonts w:cstheme="minorHAnsi"/>
          <w:sz w:val="20"/>
        </w:rPr>
      </w:pPr>
      <w:proofErr w:type="gramStart"/>
      <w:r w:rsidRPr="00CD0F3C">
        <w:rPr>
          <w:rFonts w:cstheme="minorHAnsi"/>
          <w:sz w:val="20"/>
        </w:rPr>
        <w:t>NREL, 2010.</w:t>
      </w:r>
      <w:proofErr w:type="gramEnd"/>
      <w:r w:rsidRPr="00CD0F3C">
        <w:rPr>
          <w:rFonts w:cstheme="minorHAnsi"/>
          <w:sz w:val="20"/>
        </w:rPr>
        <w:t xml:space="preserve"> </w:t>
      </w:r>
      <w:proofErr w:type="gramStart"/>
      <w:r w:rsidRPr="00CD0F3C">
        <w:rPr>
          <w:rFonts w:cstheme="minorHAnsi"/>
          <w:sz w:val="20"/>
        </w:rPr>
        <w:t>“Energy Technology Cost and Performance Data.”</w:t>
      </w:r>
      <w:proofErr w:type="gramEnd"/>
      <w:r w:rsidRPr="00CD0F3C">
        <w:rPr>
          <w:rFonts w:cstheme="minorHAnsi"/>
          <w:sz w:val="20"/>
        </w:rPr>
        <w:t xml:space="preserve"> </w:t>
      </w:r>
      <w:proofErr w:type="gramStart"/>
      <w:r w:rsidRPr="00CD0F3C">
        <w:rPr>
          <w:rFonts w:cstheme="minorHAnsi"/>
          <w:i/>
          <w:iCs/>
          <w:sz w:val="20"/>
        </w:rPr>
        <w:t>NREL Technical Report</w:t>
      </w:r>
      <w:r w:rsidRPr="00CD0F3C">
        <w:rPr>
          <w:rFonts w:cstheme="minorHAnsi"/>
          <w:sz w:val="20"/>
        </w:rPr>
        <w:t>, June.</w:t>
      </w:r>
      <w:proofErr w:type="gramEnd"/>
      <w:r w:rsidR="00CD0F3C">
        <w:rPr>
          <w:rFonts w:cstheme="minorHAnsi"/>
          <w:sz w:val="20"/>
        </w:rPr>
        <w:t xml:space="preserve"> </w:t>
      </w:r>
      <w:r w:rsidRPr="00CD0F3C">
        <w:rPr>
          <w:rFonts w:cstheme="minorHAnsi"/>
          <w:sz w:val="20"/>
        </w:rPr>
        <w:t xml:space="preserve">Accessed at </w:t>
      </w:r>
      <w:hyperlink r:id="rId4" w:history="1">
        <w:r w:rsidRPr="00CD0F3C">
          <w:rPr>
            <w:rStyle w:val="Hyperlink"/>
            <w:rFonts w:cstheme="minorHAnsi"/>
            <w:sz w:val="20"/>
          </w:rPr>
          <w:t>http://www.nrel.gov/analysis/costs.html</w:t>
        </w:r>
      </w:hyperlink>
    </w:p>
    <w:p w:rsidR="006306F9" w:rsidRPr="00CD0F3C" w:rsidRDefault="006306F9" w:rsidP="00CD0F3C">
      <w:pPr>
        <w:autoSpaceDE w:val="0"/>
        <w:autoSpaceDN w:val="0"/>
        <w:adjustRightInd w:val="0"/>
        <w:spacing w:after="120" w:line="240" w:lineRule="auto"/>
        <w:rPr>
          <w:rFonts w:cstheme="minorHAnsi"/>
          <w:sz w:val="20"/>
        </w:rPr>
      </w:pPr>
      <w:proofErr w:type="gramStart"/>
      <w:r w:rsidRPr="00CD0F3C">
        <w:rPr>
          <w:rFonts w:cstheme="minorHAnsi"/>
          <w:sz w:val="20"/>
        </w:rPr>
        <w:t>Sarzynski, A, 2009.</w:t>
      </w:r>
      <w:proofErr w:type="gramEnd"/>
      <w:r w:rsidRPr="00CD0F3C">
        <w:rPr>
          <w:rFonts w:cstheme="minorHAnsi"/>
          <w:sz w:val="20"/>
        </w:rPr>
        <w:t xml:space="preserve"> “State policy experimentation with financial incentives for solar energy.” </w:t>
      </w:r>
      <w:proofErr w:type="gramStart"/>
      <w:r w:rsidRPr="00CD0F3C">
        <w:rPr>
          <w:rFonts w:cstheme="minorHAnsi"/>
          <w:sz w:val="20"/>
        </w:rPr>
        <w:t>Working paper, George Washington Institute of Public Policy, Washington, DC.</w:t>
      </w:r>
      <w:proofErr w:type="gramEnd"/>
    </w:p>
    <w:p w:rsidR="006306F9" w:rsidRPr="00CD0F3C" w:rsidRDefault="006306F9" w:rsidP="00CD0F3C">
      <w:pPr>
        <w:autoSpaceDE w:val="0"/>
        <w:autoSpaceDN w:val="0"/>
        <w:adjustRightInd w:val="0"/>
        <w:spacing w:after="120" w:line="240" w:lineRule="auto"/>
        <w:rPr>
          <w:rFonts w:cstheme="minorHAnsi"/>
          <w:sz w:val="20"/>
        </w:rPr>
      </w:pPr>
      <w:proofErr w:type="gramStart"/>
      <w:r w:rsidRPr="00CD0F3C">
        <w:rPr>
          <w:rFonts w:cstheme="minorHAnsi"/>
          <w:sz w:val="20"/>
        </w:rPr>
        <w:t>Sarzynski A, Larrieu J, and Shrimali G, 2011.</w:t>
      </w:r>
      <w:proofErr w:type="gramEnd"/>
      <w:r w:rsidRPr="00CD0F3C">
        <w:rPr>
          <w:rFonts w:cstheme="minorHAnsi"/>
          <w:sz w:val="20"/>
        </w:rPr>
        <w:t xml:space="preserve"> </w:t>
      </w:r>
      <w:proofErr w:type="gramStart"/>
      <w:r w:rsidRPr="00CD0F3C">
        <w:rPr>
          <w:rFonts w:cstheme="minorHAnsi"/>
          <w:sz w:val="20"/>
        </w:rPr>
        <w:t>“The Impact of State Financial Incentives on Market Deployment of Solar Technology.”</w:t>
      </w:r>
      <w:proofErr w:type="gramEnd"/>
      <w:r w:rsidRPr="00CD0F3C">
        <w:rPr>
          <w:rFonts w:cstheme="minorHAnsi"/>
          <w:sz w:val="20"/>
        </w:rPr>
        <w:t xml:space="preserve"> </w:t>
      </w:r>
      <w:r w:rsidRPr="00CD0F3C">
        <w:rPr>
          <w:rFonts w:cstheme="minorHAnsi"/>
          <w:i/>
          <w:iCs/>
          <w:sz w:val="20"/>
        </w:rPr>
        <w:t xml:space="preserve">Energy Policy </w:t>
      </w:r>
      <w:r w:rsidRPr="00CD0F3C">
        <w:rPr>
          <w:rFonts w:cstheme="minorHAnsi"/>
          <w:sz w:val="20"/>
        </w:rPr>
        <w:t>46: 550-557.</w:t>
      </w:r>
    </w:p>
    <w:p w:rsidR="006306F9" w:rsidRPr="00CD0F3C" w:rsidRDefault="006306F9" w:rsidP="00CD0F3C">
      <w:pPr>
        <w:autoSpaceDE w:val="0"/>
        <w:autoSpaceDN w:val="0"/>
        <w:adjustRightInd w:val="0"/>
        <w:spacing w:after="120" w:line="240" w:lineRule="auto"/>
        <w:rPr>
          <w:rFonts w:cstheme="minorHAnsi"/>
          <w:sz w:val="20"/>
        </w:rPr>
      </w:pPr>
      <w:r w:rsidRPr="00CD0F3C">
        <w:rPr>
          <w:rFonts w:cstheme="minorHAnsi"/>
          <w:sz w:val="20"/>
        </w:rPr>
        <w:t xml:space="preserve">Schaeffer G J et al., 2004, “PHOTEX. </w:t>
      </w:r>
      <w:proofErr w:type="gramStart"/>
      <w:r w:rsidRPr="00CD0F3C">
        <w:rPr>
          <w:rFonts w:cstheme="minorHAnsi"/>
          <w:sz w:val="20"/>
        </w:rPr>
        <w:t>Learning from the Sun.”</w:t>
      </w:r>
      <w:proofErr w:type="gramEnd"/>
      <w:r w:rsidRPr="00CD0F3C">
        <w:rPr>
          <w:rFonts w:cstheme="minorHAnsi"/>
          <w:sz w:val="20"/>
        </w:rPr>
        <w:t xml:space="preserve"> </w:t>
      </w:r>
      <w:r w:rsidRPr="00CD0F3C">
        <w:rPr>
          <w:rFonts w:cstheme="minorHAnsi"/>
          <w:i/>
          <w:iCs/>
          <w:sz w:val="20"/>
        </w:rPr>
        <w:t>ENC Technical Report</w:t>
      </w:r>
      <w:r w:rsidRPr="00CD0F3C">
        <w:rPr>
          <w:rFonts w:cstheme="minorHAnsi"/>
          <w:sz w:val="20"/>
        </w:rPr>
        <w:t>: ECN-C-04-035.</w:t>
      </w:r>
    </w:p>
    <w:p w:rsidR="006306F9" w:rsidRPr="00CD0F3C" w:rsidRDefault="006306F9" w:rsidP="00CD0F3C">
      <w:pPr>
        <w:autoSpaceDE w:val="0"/>
        <w:autoSpaceDN w:val="0"/>
        <w:adjustRightInd w:val="0"/>
        <w:spacing w:after="120" w:line="240" w:lineRule="auto"/>
        <w:rPr>
          <w:rFonts w:cstheme="minorHAnsi"/>
          <w:sz w:val="20"/>
        </w:rPr>
      </w:pPr>
      <w:r w:rsidRPr="00CD0F3C">
        <w:rPr>
          <w:rFonts w:cstheme="minorHAnsi"/>
          <w:sz w:val="20"/>
        </w:rPr>
        <w:t>Sherwood L, 2010. “U.S. Solar Market Trends 2009.” Interstate Renewable Energy Council, available at http://www.irecusa.org, accessed February 2011.</w:t>
      </w:r>
    </w:p>
    <w:p w:rsidR="006306F9" w:rsidRPr="00CD0F3C" w:rsidRDefault="006306F9" w:rsidP="00CD0F3C">
      <w:pPr>
        <w:autoSpaceDE w:val="0"/>
        <w:autoSpaceDN w:val="0"/>
        <w:adjustRightInd w:val="0"/>
        <w:spacing w:after="120" w:line="240" w:lineRule="auto"/>
        <w:rPr>
          <w:rFonts w:cstheme="minorHAnsi"/>
          <w:sz w:val="20"/>
        </w:rPr>
      </w:pPr>
      <w:r w:rsidRPr="00CD0F3C">
        <w:rPr>
          <w:rFonts w:cstheme="minorHAnsi"/>
          <w:sz w:val="20"/>
        </w:rPr>
        <w:t xml:space="preserve">Shrimali G, Kneifel J, 2011. “Are Government Policies Effective in Promoting Deployment of Renewable Electricity Resources?” </w:t>
      </w:r>
      <w:r w:rsidRPr="00CD0F3C">
        <w:rPr>
          <w:rFonts w:cstheme="minorHAnsi"/>
          <w:i/>
          <w:iCs/>
          <w:sz w:val="20"/>
        </w:rPr>
        <w:t>Energy Policy</w:t>
      </w:r>
      <w:r w:rsidRPr="00CD0F3C">
        <w:rPr>
          <w:rFonts w:cstheme="minorHAnsi"/>
          <w:sz w:val="20"/>
        </w:rPr>
        <w:t>, 39(9): 4726-4741.</w:t>
      </w:r>
    </w:p>
    <w:p w:rsidR="006306F9" w:rsidRPr="00CD0F3C" w:rsidRDefault="006306F9" w:rsidP="00CD0F3C">
      <w:pPr>
        <w:autoSpaceDE w:val="0"/>
        <w:autoSpaceDN w:val="0"/>
        <w:adjustRightInd w:val="0"/>
        <w:spacing w:after="120" w:line="240" w:lineRule="auto"/>
        <w:rPr>
          <w:rFonts w:cstheme="minorHAnsi"/>
          <w:sz w:val="20"/>
        </w:rPr>
      </w:pPr>
      <w:r w:rsidRPr="00CD0F3C">
        <w:rPr>
          <w:rFonts w:cstheme="minorHAnsi"/>
          <w:sz w:val="20"/>
        </w:rPr>
        <w:t>Yin H and Powers N, 2010. “Do state renewable portfolio standards promote in-state renewable</w:t>
      </w:r>
      <w:r w:rsidR="00CD0F3C">
        <w:rPr>
          <w:rFonts w:cstheme="minorHAnsi"/>
          <w:sz w:val="20"/>
        </w:rPr>
        <w:t xml:space="preserve"> </w:t>
      </w:r>
      <w:r w:rsidRPr="00CD0F3C">
        <w:rPr>
          <w:rFonts w:cstheme="minorHAnsi"/>
          <w:sz w:val="20"/>
        </w:rPr>
        <w:t xml:space="preserve">generation.” </w:t>
      </w:r>
      <w:r w:rsidRPr="00CD0F3C">
        <w:rPr>
          <w:rFonts w:cstheme="minorHAnsi"/>
          <w:i/>
          <w:iCs/>
          <w:sz w:val="20"/>
        </w:rPr>
        <w:t>Energy Policy</w:t>
      </w:r>
      <w:r w:rsidRPr="00CD0F3C">
        <w:rPr>
          <w:rFonts w:cstheme="minorHAnsi"/>
          <w:sz w:val="20"/>
        </w:rPr>
        <w:t>, 38(2): 1140-1149.</w:t>
      </w:r>
    </w:p>
    <w:p w:rsidR="006306F9" w:rsidRPr="00CD0F3C" w:rsidRDefault="006306F9" w:rsidP="00CD0F3C">
      <w:pPr>
        <w:autoSpaceDE w:val="0"/>
        <w:autoSpaceDN w:val="0"/>
        <w:adjustRightInd w:val="0"/>
        <w:spacing w:after="120" w:line="240" w:lineRule="auto"/>
        <w:rPr>
          <w:rFonts w:cstheme="minorHAnsi"/>
          <w:sz w:val="20"/>
        </w:rPr>
      </w:pPr>
      <w:proofErr w:type="gramStart"/>
      <w:r w:rsidRPr="00CD0F3C">
        <w:rPr>
          <w:rFonts w:cstheme="minorHAnsi"/>
          <w:sz w:val="20"/>
        </w:rPr>
        <w:t xml:space="preserve">Wiser R, </w:t>
      </w:r>
      <w:proofErr w:type="spellStart"/>
      <w:r w:rsidRPr="00CD0F3C">
        <w:rPr>
          <w:rFonts w:cstheme="minorHAnsi"/>
          <w:sz w:val="20"/>
        </w:rPr>
        <w:t>Bolinger</w:t>
      </w:r>
      <w:proofErr w:type="spellEnd"/>
      <w:r w:rsidRPr="00CD0F3C">
        <w:rPr>
          <w:rFonts w:cstheme="minorHAnsi"/>
          <w:sz w:val="20"/>
        </w:rPr>
        <w:t xml:space="preserve"> M, Cappers P, and Margolis R, 2006.</w:t>
      </w:r>
      <w:proofErr w:type="gramEnd"/>
      <w:r w:rsidRPr="00CD0F3C">
        <w:rPr>
          <w:rFonts w:cstheme="minorHAnsi"/>
          <w:sz w:val="20"/>
        </w:rPr>
        <w:t xml:space="preserve"> “Letting the Sun Shine on Solar Costs:</w:t>
      </w:r>
      <w:r w:rsidR="00CD0F3C">
        <w:rPr>
          <w:rFonts w:cstheme="minorHAnsi"/>
          <w:sz w:val="20"/>
        </w:rPr>
        <w:t xml:space="preserve"> </w:t>
      </w:r>
      <w:r w:rsidRPr="00CD0F3C">
        <w:rPr>
          <w:rFonts w:cstheme="minorHAnsi"/>
          <w:sz w:val="20"/>
        </w:rPr>
        <w:t xml:space="preserve">An Empirical Investigation of Photovoltaic Cost Trends in California.” </w:t>
      </w:r>
      <w:r w:rsidRPr="00CD0F3C">
        <w:rPr>
          <w:rFonts w:cstheme="minorHAnsi"/>
          <w:i/>
          <w:iCs/>
          <w:sz w:val="20"/>
        </w:rPr>
        <w:t>LBNL Technical Report</w:t>
      </w:r>
      <w:r w:rsidRPr="00CD0F3C">
        <w:rPr>
          <w:rFonts w:cstheme="minorHAnsi"/>
          <w:sz w:val="20"/>
        </w:rPr>
        <w:t>:</w:t>
      </w:r>
      <w:r w:rsidR="00CD0F3C">
        <w:rPr>
          <w:rFonts w:cstheme="minorHAnsi"/>
          <w:sz w:val="20"/>
        </w:rPr>
        <w:t xml:space="preserve"> </w:t>
      </w:r>
      <w:r w:rsidRPr="00CD0F3C">
        <w:rPr>
          <w:rFonts w:cstheme="minorHAnsi"/>
          <w:sz w:val="20"/>
        </w:rPr>
        <w:t>LBNL-59282.</w:t>
      </w:r>
    </w:p>
    <w:sectPr w:rsidR="006306F9" w:rsidRPr="00CD0F3C" w:rsidSect="00DE31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mr10">
    <w:panose1 w:val="020B0500000000000000"/>
    <w:charset w:val="00"/>
    <w:family w:val="swiss"/>
    <w:pitch w:val="variable"/>
    <w:sig w:usb0="00000003" w:usb1="00000000" w:usb2="00000000" w:usb3="00000000" w:csb0="00000001" w:csb1="00000000"/>
  </w:font>
  <w:font w:name="cmmi10">
    <w:panose1 w:val="020B0500000000000000"/>
    <w:charset w:val="00"/>
    <w:family w:val="swiss"/>
    <w:pitch w:val="variable"/>
    <w:sig w:usb0="00000003" w:usb1="00000000" w:usb2="00000000" w:usb3="00000000" w:csb0="00000001" w:csb1="00000000"/>
  </w:font>
  <w:font w:name="cmmi8">
    <w:panose1 w:val="020B0500000000000000"/>
    <w:charset w:val="00"/>
    <w:family w:val="swiss"/>
    <w:pitch w:val="variable"/>
    <w:sig w:usb0="00000003" w:usb1="00000000" w:usb2="00000000" w:usb3="00000000" w:csb0="00000001" w:csb1="00000000"/>
  </w:font>
  <w:font w:name="cmr8">
    <w:panose1 w:val="020B0500000000000000"/>
    <w:charset w:val="00"/>
    <w:family w:val="swiss"/>
    <w:pitch w:val="variable"/>
    <w:sig w:usb0="00000003" w:usb1="00000000" w:usb2="00000000" w:usb3="00000000" w:csb0="00000001" w:csb1="00000000"/>
  </w:font>
  <w:font w:name="cmsy10">
    <w:panose1 w:val="020B0500000000000000"/>
    <w:charset w:val="00"/>
    <w:family w:val="swiss"/>
    <w:pitch w:val="variable"/>
    <w:sig w:usb0="00000003" w:usb1="00000000" w:usb2="00000000" w:usb3="00000000" w:csb0="00000001" w:csb1="00000000"/>
  </w:font>
  <w:font w:name="cmbx10">
    <w:panose1 w:val="020B0500000000000000"/>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81BA3"/>
    <w:rsid w:val="001424D3"/>
    <w:rsid w:val="00184CF2"/>
    <w:rsid w:val="001E0340"/>
    <w:rsid w:val="001F0EC5"/>
    <w:rsid w:val="002A742C"/>
    <w:rsid w:val="002D46F7"/>
    <w:rsid w:val="00325A96"/>
    <w:rsid w:val="003E1F91"/>
    <w:rsid w:val="00420135"/>
    <w:rsid w:val="004F37E2"/>
    <w:rsid w:val="005340E0"/>
    <w:rsid w:val="00581BA3"/>
    <w:rsid w:val="006306F9"/>
    <w:rsid w:val="006349E5"/>
    <w:rsid w:val="006D0341"/>
    <w:rsid w:val="007457CB"/>
    <w:rsid w:val="00814454"/>
    <w:rsid w:val="008548D9"/>
    <w:rsid w:val="00872A7C"/>
    <w:rsid w:val="00A76998"/>
    <w:rsid w:val="00B20A69"/>
    <w:rsid w:val="00B87AF5"/>
    <w:rsid w:val="00BE5AA7"/>
    <w:rsid w:val="00CD0F3C"/>
    <w:rsid w:val="00D43E6F"/>
    <w:rsid w:val="00D56039"/>
    <w:rsid w:val="00DE31CC"/>
    <w:rsid w:val="00E30370"/>
    <w:rsid w:val="00E51FD1"/>
    <w:rsid w:val="00EB269A"/>
    <w:rsid w:val="00F65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1CC"/>
  </w:style>
  <w:style w:type="paragraph" w:styleId="Heading1">
    <w:name w:val="heading 1"/>
    <w:basedOn w:val="Normal"/>
    <w:next w:val="Normal"/>
    <w:link w:val="Heading1Char"/>
    <w:uiPriority w:val="9"/>
    <w:qFormat/>
    <w:rsid w:val="00581B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BA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306F9"/>
    <w:rPr>
      <w:color w:val="0000FF" w:themeColor="hyperlink"/>
      <w:u w:val="single"/>
    </w:rPr>
  </w:style>
  <w:style w:type="paragraph" w:styleId="Title">
    <w:name w:val="Title"/>
    <w:basedOn w:val="Normal"/>
    <w:next w:val="Normal"/>
    <w:link w:val="TitleChar"/>
    <w:uiPriority w:val="10"/>
    <w:qFormat/>
    <w:rsid w:val="00EB2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269A"/>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CD0F3C"/>
    <w:pPr>
      <w:spacing w:after="0" w:line="240" w:lineRule="auto"/>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CD0F3C"/>
    <w:rPr>
      <w:rFonts w:ascii="Times New Roman" w:eastAsia="Times New Roman" w:hAnsi="Times New Roman" w:cs="Times New Roman"/>
      <w:szCs w:val="20"/>
      <w:lang w:val="en-GB"/>
    </w:rPr>
  </w:style>
  <w:style w:type="character" w:styleId="Emphasis">
    <w:name w:val="Emphasis"/>
    <w:qFormat/>
    <w:rsid w:val="00CD0F3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rel.gov/analysis/co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2044</TotalTime>
  <Pages>2</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Gireesh Shrimali</dc:creator>
  <cp:keywords/>
  <dc:description/>
  <cp:lastModifiedBy>Gireesh Shrimali</cp:lastModifiedBy>
  <cp:revision>18</cp:revision>
  <dcterms:created xsi:type="dcterms:W3CDTF">2013-01-12T02:44:00Z</dcterms:created>
  <dcterms:modified xsi:type="dcterms:W3CDTF">2013-01-22T06:00:00Z</dcterms:modified>
</cp:coreProperties>
</file>