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1" w:rsidRDefault="00DC69F1" w:rsidP="001F5E09">
      <w:pPr>
        <w:framePr w:w="10800" w:h="2142" w:hRule="exact" w:hSpace="187" w:wrap="auto" w:vAnchor="page" w:hAnchor="page" w:x="714" w:y="1085"/>
      </w:pPr>
      <w:r>
        <w:t xml:space="preserve">       </w:t>
      </w:r>
      <w:r>
        <w:tab/>
      </w:r>
      <w:r>
        <w:tab/>
      </w:r>
      <w:r>
        <w:tab/>
      </w:r>
      <w:r>
        <w:tab/>
      </w:r>
      <w:r>
        <w:tab/>
      </w:r>
      <w:r>
        <w:tab/>
      </w:r>
      <w:r>
        <w:tab/>
      </w:r>
      <w:r>
        <w:tab/>
      </w:r>
      <w:r>
        <w:tab/>
        <w:t xml:space="preserve">                                                 </w:t>
      </w:r>
      <w:r>
        <w:tab/>
      </w:r>
    </w:p>
    <w:p w:rsidR="001F5E09" w:rsidRDefault="00213383" w:rsidP="001F5E09">
      <w:pPr>
        <w:pStyle w:val="BodyText"/>
        <w:framePr w:w="10800" w:h="2142" w:hRule="exact" w:hSpace="187" w:wrap="auto" w:vAnchor="page" w:hAnchor="page" w:x="714" w:y="1085"/>
        <w:rPr>
          <w:b/>
          <w:i/>
          <w:caps/>
          <w:sz w:val="28"/>
          <w:szCs w:val="28"/>
        </w:rPr>
      </w:pPr>
      <w:r>
        <w:rPr>
          <w:b/>
          <w:i/>
          <w:caps/>
          <w:sz w:val="28"/>
          <w:szCs w:val="28"/>
        </w:rPr>
        <w:t xml:space="preserve">analysis of </w:t>
      </w:r>
      <w:r w:rsidR="004E065F" w:rsidRPr="004E065F">
        <w:rPr>
          <w:b/>
          <w:i/>
          <w:caps/>
          <w:sz w:val="28"/>
          <w:szCs w:val="28"/>
        </w:rPr>
        <w:t xml:space="preserve">The </w:t>
      </w:r>
      <w:r>
        <w:rPr>
          <w:b/>
          <w:i/>
          <w:caps/>
          <w:sz w:val="28"/>
          <w:szCs w:val="28"/>
        </w:rPr>
        <w:t>impacts of co2 capture and shale gas supply under a co2 tax scenario</w:t>
      </w:r>
    </w:p>
    <w:p w:rsidR="001F5E09" w:rsidRDefault="001F5E09" w:rsidP="008061A3">
      <w:pPr>
        <w:pStyle w:val="BodyText"/>
        <w:framePr w:w="10800" w:h="2142" w:hRule="exact" w:hSpace="187" w:wrap="auto" w:vAnchor="page" w:hAnchor="page" w:x="714" w:y="1085"/>
        <w:jc w:val="right"/>
        <w:rPr>
          <w:b/>
          <w:i/>
          <w:caps/>
          <w:sz w:val="28"/>
          <w:szCs w:val="28"/>
        </w:rPr>
      </w:pPr>
    </w:p>
    <w:p w:rsidR="008061A3" w:rsidRPr="008061A3" w:rsidRDefault="008061A3" w:rsidP="008061A3">
      <w:pPr>
        <w:pStyle w:val="BodyText"/>
        <w:framePr w:w="10800" w:h="2142" w:hRule="exact" w:hSpace="187" w:wrap="auto" w:vAnchor="page" w:hAnchor="page" w:x="714" w:y="1085"/>
        <w:jc w:val="right"/>
        <w:rPr>
          <w:sz w:val="20"/>
        </w:rPr>
      </w:pPr>
      <w:r w:rsidRPr="008061A3">
        <w:rPr>
          <w:sz w:val="20"/>
        </w:rPr>
        <w:t xml:space="preserve">Christopher Nichols, Phone +1 304 285 4172, E-mail: </w:t>
      </w:r>
      <w:proofErr w:type="spellStart"/>
      <w:r w:rsidRPr="008061A3">
        <w:rPr>
          <w:sz w:val="20"/>
        </w:rPr>
        <w:t>Christopher.Nichols</w:t>
      </w:r>
      <w:proofErr w:type="spellEnd"/>
      <w:r w:rsidRPr="008061A3">
        <w:rPr>
          <w:sz w:val="20"/>
        </w:rPr>
        <w:t xml:space="preserve">@ netl.doe.gov         </w:t>
      </w:r>
    </w:p>
    <w:p w:rsidR="008061A3" w:rsidRDefault="008061A3" w:rsidP="008061A3">
      <w:pPr>
        <w:pStyle w:val="BodyText"/>
        <w:framePr w:w="10800" w:h="2142" w:hRule="exact" w:hSpace="187" w:wrap="auto" w:vAnchor="page" w:hAnchor="page" w:x="714" w:y="1085"/>
        <w:jc w:val="right"/>
        <w:rPr>
          <w:sz w:val="20"/>
        </w:rPr>
      </w:pPr>
      <w:proofErr w:type="spellStart"/>
      <w:r w:rsidRPr="008061A3">
        <w:rPr>
          <w:sz w:val="20"/>
        </w:rPr>
        <w:t>Nadejda</w:t>
      </w:r>
      <w:proofErr w:type="spellEnd"/>
      <w:r w:rsidRPr="008061A3">
        <w:rPr>
          <w:sz w:val="20"/>
        </w:rPr>
        <w:t xml:space="preserve"> Victor, Phone +1 412 386 5152, E-mail:  Nadejda.Victor@</w:t>
      </w:r>
      <w:r>
        <w:rPr>
          <w:sz w:val="20"/>
        </w:rPr>
        <w:t>contr.</w:t>
      </w:r>
      <w:r w:rsidRPr="008061A3">
        <w:rPr>
          <w:sz w:val="20"/>
        </w:rPr>
        <w:t xml:space="preserve">netl.doe.gov </w:t>
      </w:r>
    </w:p>
    <w:p w:rsidR="008061A3" w:rsidRPr="008061A3" w:rsidRDefault="008061A3" w:rsidP="008061A3">
      <w:pPr>
        <w:pStyle w:val="BodyText"/>
        <w:framePr w:w="10800" w:h="2142" w:hRule="exact" w:hSpace="187" w:wrap="auto" w:vAnchor="page" w:hAnchor="page" w:x="714" w:y="1085"/>
        <w:jc w:val="right"/>
        <w:rPr>
          <w:sz w:val="20"/>
        </w:rPr>
      </w:pPr>
      <w:r w:rsidRPr="008061A3">
        <w:rPr>
          <w:sz w:val="20"/>
        </w:rPr>
        <w:t xml:space="preserve">Peter </w:t>
      </w:r>
      <w:proofErr w:type="spellStart"/>
      <w:r w:rsidRPr="008061A3">
        <w:rPr>
          <w:sz w:val="20"/>
        </w:rPr>
        <w:t>Balash</w:t>
      </w:r>
      <w:proofErr w:type="spellEnd"/>
      <w:r w:rsidRPr="008061A3">
        <w:rPr>
          <w:sz w:val="20"/>
        </w:rPr>
        <w:t xml:space="preserve">, Phone +1 412 386 </w:t>
      </w:r>
      <w:proofErr w:type="gramStart"/>
      <w:r w:rsidRPr="008061A3">
        <w:rPr>
          <w:sz w:val="20"/>
        </w:rPr>
        <w:t>5753 ,</w:t>
      </w:r>
      <w:proofErr w:type="gramEnd"/>
      <w:r w:rsidRPr="008061A3">
        <w:rPr>
          <w:sz w:val="20"/>
        </w:rPr>
        <w:t xml:space="preserve"> E-mail: </w:t>
      </w:r>
      <w:proofErr w:type="spellStart"/>
      <w:r w:rsidRPr="008061A3">
        <w:rPr>
          <w:sz w:val="20"/>
        </w:rPr>
        <w:t>Peter.Balash</w:t>
      </w:r>
      <w:proofErr w:type="spellEnd"/>
      <w:r w:rsidRPr="008061A3">
        <w:rPr>
          <w:sz w:val="20"/>
        </w:rPr>
        <w:t xml:space="preserve"> @netl.doe.gov </w:t>
      </w:r>
    </w:p>
    <w:p w:rsidR="00DC69F1" w:rsidRPr="00D767DA" w:rsidRDefault="008061A3" w:rsidP="008061A3">
      <w:pPr>
        <w:pStyle w:val="BodyText"/>
        <w:framePr w:w="10800" w:h="2142" w:hRule="exact" w:hSpace="187" w:wrap="auto" w:vAnchor="page" w:hAnchor="page" w:x="714" w:y="1085"/>
        <w:jc w:val="right"/>
        <w:rPr>
          <w:sz w:val="20"/>
        </w:rPr>
      </w:pPr>
      <w:r w:rsidRPr="008061A3">
        <w:rPr>
          <w:sz w:val="20"/>
        </w:rPr>
        <w:t xml:space="preserve">       </w:t>
      </w:r>
    </w:p>
    <w:p w:rsidR="008061A3" w:rsidRDefault="008061A3" w:rsidP="008061A3">
      <w:pPr>
        <w:pStyle w:val="BodyText"/>
        <w:framePr w:w="10800" w:h="2142" w:hRule="exact" w:hSpace="187" w:wrap="auto" w:vAnchor="page" w:hAnchor="page" w:x="714" w:y="1085"/>
        <w:jc w:val="right"/>
      </w:pPr>
    </w:p>
    <w:p w:rsidR="00DC69F1" w:rsidRDefault="00DC69F1" w:rsidP="00DC69F1">
      <w:pPr>
        <w:pStyle w:val="BodyText"/>
        <w:framePr w:w="10800" w:h="2142" w:hRule="exact" w:hSpace="187" w:wrap="auto" w:vAnchor="page" w:hAnchor="page" w:x="714" w:y="1085"/>
        <w:jc w:val="right"/>
      </w:pPr>
      <w:r>
        <w:t xml:space="preserve"> </w:t>
      </w:r>
    </w:p>
    <w:p w:rsidR="00DC69F1" w:rsidRPr="00D767DA" w:rsidRDefault="00DC69F1" w:rsidP="00DC69F1">
      <w:pPr>
        <w:pStyle w:val="BodyText2"/>
        <w:framePr w:w="10800" w:h="2142" w:hRule="exact" w:hSpace="187" w:wrap="auto" w:vAnchor="page" w:hAnchor="page" w:x="714" w:y="1085"/>
        <w:spacing w:after="200"/>
        <w:jc w:val="right"/>
        <w:rPr>
          <w:i/>
        </w:rPr>
      </w:pPr>
      <w:r w:rsidRPr="003201CE">
        <w:rPr>
          <w:highlight w:val="yellow"/>
        </w:rPr>
        <w:t xml:space="preserve">[Format: single space, </w:t>
      </w:r>
      <w:proofErr w:type="gramStart"/>
      <w:r w:rsidRPr="003201CE">
        <w:rPr>
          <w:highlight w:val="yellow"/>
        </w:rPr>
        <w:t xml:space="preserve">10 </w:t>
      </w:r>
      <w:r>
        <w:rPr>
          <w:highlight w:val="yellow"/>
        </w:rPr>
        <w:t>point</w:t>
      </w:r>
      <w:proofErr w:type="gramEnd"/>
      <w:r>
        <w:rPr>
          <w:highlight w:val="yellow"/>
        </w:rPr>
        <w:t xml:space="preserve"> </w:t>
      </w:r>
      <w:r w:rsidRPr="003201CE">
        <w:rPr>
          <w:highlight w:val="yellow"/>
        </w:rPr>
        <w:t>font, Times New Roman]</w:t>
      </w:r>
    </w:p>
    <w:p w:rsidR="00DC69F1" w:rsidRDefault="00DC69F1">
      <w:pPr>
        <w:pStyle w:val="copyright"/>
      </w:pPr>
    </w:p>
    <w:p w:rsidR="00386A91" w:rsidRPr="00476853" w:rsidRDefault="00386A91" w:rsidP="00386A91">
      <w:pPr>
        <w:pStyle w:val="Heading2"/>
        <w:ind w:left="-810" w:firstLine="810"/>
        <w:rPr>
          <w:i w:val="0"/>
          <w:sz w:val="24"/>
          <w:szCs w:val="24"/>
        </w:rPr>
      </w:pPr>
      <w:r w:rsidRPr="00476853">
        <w:rPr>
          <w:i w:val="0"/>
          <w:sz w:val="24"/>
          <w:szCs w:val="24"/>
        </w:rPr>
        <w:t>Overview</w:t>
      </w:r>
      <w:r>
        <w:rPr>
          <w:i w:val="0"/>
          <w:sz w:val="24"/>
          <w:szCs w:val="24"/>
        </w:rPr>
        <w:t xml:space="preserve"> </w:t>
      </w:r>
    </w:p>
    <w:p w:rsidR="00FE0821" w:rsidRDefault="00FE0821" w:rsidP="00FE0821"/>
    <w:p w:rsidR="0075049D" w:rsidRDefault="0075049D" w:rsidP="0075049D">
      <w:pPr>
        <w:pStyle w:val="FootnoteText"/>
      </w:pPr>
      <w:proofErr w:type="gramStart"/>
      <w:r>
        <w:t>Security of energy supply and climate change are</w:t>
      </w:r>
      <w:proofErr w:type="gramEnd"/>
      <w:r>
        <w:t xml:space="preserve"> central concerns for policy makers and important dimensions of </w:t>
      </w:r>
      <w:r w:rsidR="00213383">
        <w:t xml:space="preserve">long-term energy </w:t>
      </w:r>
      <w:r>
        <w:t xml:space="preserve">sustainability. This paper examines the role of policy instruments in managing climate change and stimulating technological change towards a sustainable energy system in the long-term future. The approach, which makes use of the </w:t>
      </w:r>
      <w:proofErr w:type="spellStart"/>
      <w:r>
        <w:t>MARKet</w:t>
      </w:r>
      <w:proofErr w:type="spellEnd"/>
      <w:r>
        <w:t xml:space="preserve"> </w:t>
      </w:r>
      <w:proofErr w:type="spellStart"/>
      <w:r>
        <w:t>ALlocation</w:t>
      </w:r>
      <w:proofErr w:type="spellEnd"/>
      <w:r>
        <w:t xml:space="preserve"> (MARKAL) energy system model, allows </w:t>
      </w:r>
      <w:r w:rsidR="00814276">
        <w:t>policy instruments</w:t>
      </w:r>
      <w:r>
        <w:t xml:space="preserve"> to </w:t>
      </w:r>
      <w:proofErr w:type="gramStart"/>
      <w:r>
        <w:t>be examined</w:t>
      </w:r>
      <w:proofErr w:type="gramEnd"/>
      <w:r>
        <w:t xml:space="preserve"> quantitatively in a dynamic energy system context. </w:t>
      </w:r>
    </w:p>
    <w:p w:rsidR="0075049D" w:rsidRDefault="0075049D" w:rsidP="0075049D">
      <w:pPr>
        <w:pStyle w:val="FootnoteText"/>
      </w:pPr>
    </w:p>
    <w:p w:rsidR="0075049D" w:rsidRDefault="0075049D" w:rsidP="0075049D">
      <w:pPr>
        <w:pStyle w:val="FootnoteText"/>
      </w:pPr>
      <w:r>
        <w:t>The study is focused on the interaction between climate policies and energy security, and will help guide policy making by identifying areas, and the extent to which, climate policy can reinforce energy security objectives.  The study discusses multiple scenarios, considering the synergistic effects of energy development objectives, diversification in energy supply and environmental regulations in the U.S. at the regional level.</w:t>
      </w:r>
    </w:p>
    <w:p w:rsidR="0075049D" w:rsidRDefault="0075049D" w:rsidP="0075049D">
      <w:pPr>
        <w:pStyle w:val="FootnoteText"/>
      </w:pPr>
    </w:p>
    <w:p w:rsidR="005C2C13" w:rsidRDefault="005C2C13" w:rsidP="005C2C13">
      <w:pPr>
        <w:rPr>
          <w:noProof/>
          <w:lang w:val="en-US"/>
        </w:rPr>
      </w:pPr>
      <w:r w:rsidRPr="005960A0">
        <w:rPr>
          <w:noProof/>
          <w:lang w:val="en-US"/>
        </w:rPr>
        <w:t xml:space="preserve">The paper is organised as follows: </w:t>
      </w:r>
      <w:r w:rsidRPr="00814276">
        <w:rPr>
          <w:noProof/>
          <w:lang w:val="en-US"/>
        </w:rPr>
        <w:t xml:space="preserve">After the introduction the second section gives a brief overview on the </w:t>
      </w:r>
      <w:r w:rsidR="00814276" w:rsidRPr="00814276">
        <w:rPr>
          <w:noProof/>
          <w:lang w:val="en-US"/>
        </w:rPr>
        <w:t>MARKAL) energy system model</w:t>
      </w:r>
      <w:r w:rsidR="00814276">
        <w:rPr>
          <w:noProof/>
          <w:lang w:val="en-US"/>
        </w:rPr>
        <w:t>,</w:t>
      </w:r>
      <w:r w:rsidRPr="00814276">
        <w:rPr>
          <w:noProof/>
          <w:lang w:val="en-US"/>
        </w:rPr>
        <w:t xml:space="preserve"> the data sources and  methods. The third section addresses the results.  In the final section policy implications are derived.</w:t>
      </w:r>
    </w:p>
    <w:p w:rsidR="005C2C13" w:rsidRDefault="005C2C13" w:rsidP="005C2C13">
      <w:pPr>
        <w:pStyle w:val="BodyText2"/>
        <w:spacing w:before="100" w:beforeAutospacing="1" w:after="100" w:afterAutospacing="1"/>
        <w:ind w:firstLine="0"/>
      </w:pPr>
    </w:p>
    <w:p w:rsidR="00386A91" w:rsidRPr="00D767DA" w:rsidRDefault="00386A91" w:rsidP="005C2C13">
      <w:pPr>
        <w:pStyle w:val="Heading2"/>
        <w:rPr>
          <w:i w:val="0"/>
          <w:sz w:val="24"/>
          <w:szCs w:val="24"/>
        </w:rPr>
      </w:pPr>
      <w:r w:rsidRPr="00D767DA">
        <w:rPr>
          <w:i w:val="0"/>
          <w:sz w:val="24"/>
          <w:szCs w:val="24"/>
        </w:rPr>
        <w:t>Methods</w:t>
      </w:r>
    </w:p>
    <w:p w:rsidR="00256620" w:rsidRPr="001E0C04" w:rsidRDefault="00256620" w:rsidP="00745F81">
      <w:pPr>
        <w:pStyle w:val="BodyText2"/>
        <w:spacing w:before="100" w:beforeAutospacing="1" w:after="100" w:afterAutospacing="1"/>
        <w:ind w:firstLine="0"/>
      </w:pPr>
      <w:r w:rsidRPr="001E0C04">
        <w:t xml:space="preserve">The primary objective of the analysis </w:t>
      </w:r>
      <w:r>
        <w:t>is</w:t>
      </w:r>
      <w:r w:rsidRPr="001E0C04">
        <w:t xml:space="preserve"> to evaluate the</w:t>
      </w:r>
      <w:r>
        <w:t xml:space="preserve"> techno-economic impacts of the </w:t>
      </w:r>
      <w:r w:rsidR="00745F81">
        <w:t>CO2 taxation</w:t>
      </w:r>
      <w:r w:rsidRPr="001E0C04">
        <w:t xml:space="preserve"> on the </w:t>
      </w:r>
      <w:r>
        <w:t xml:space="preserve">U.S. </w:t>
      </w:r>
      <w:r w:rsidRPr="001E0C04">
        <w:t xml:space="preserve">energy system, with a particular emphasis on the </w:t>
      </w:r>
      <w:r>
        <w:t>electricity sector</w:t>
      </w:r>
      <w:r w:rsidRPr="001E0C04">
        <w:t>. Th</w:t>
      </w:r>
      <w:r>
        <w:t>e</w:t>
      </w:r>
      <w:r w:rsidRPr="001E0C04">
        <w:t xml:space="preserve"> paper presents the range of findings from a selection of model runs undertaken</w:t>
      </w:r>
      <w:r>
        <w:t xml:space="preserve"> at the regional levels</w:t>
      </w:r>
      <w:r w:rsidRPr="001E0C04">
        <w:t xml:space="preserve">. </w:t>
      </w:r>
    </w:p>
    <w:p w:rsidR="00256620" w:rsidRDefault="00256620" w:rsidP="00745F81">
      <w:pPr>
        <w:pStyle w:val="BodyText2"/>
        <w:spacing w:after="200"/>
        <w:ind w:firstLine="0"/>
      </w:pPr>
      <w:r>
        <w:t xml:space="preserve">We adopt MARKAL because it is the most </w:t>
      </w:r>
      <w:proofErr w:type="gramStart"/>
      <w:r>
        <w:t>widely-applied</w:t>
      </w:r>
      <w:proofErr w:type="gramEnd"/>
      <w:r>
        <w:t xml:space="preserve"> energy-economy model in literature, and </w:t>
      </w:r>
      <w:r w:rsidR="00745F81">
        <w:t>the latest, 2012,</w:t>
      </w:r>
      <w:r>
        <w:t xml:space="preserve"> US EPA 9 Regions MARKAL database (EPAUS9r</w:t>
      </w:r>
      <w:r w:rsidR="00745F81">
        <w:t xml:space="preserve"> 2012</w:t>
      </w:r>
      <w:r>
        <w:t xml:space="preserve">) is available. </w:t>
      </w:r>
      <w:r w:rsidRPr="001E0C04">
        <w:t>MARKAL is a linear program that has energy producing, conversion, and use activities and capacities as decision variables, and constraints representing energy balances, capacity limits, and various policy considerations. The objective function is to minimize the cost of meeting those demands</w:t>
      </w:r>
      <w:r>
        <w:t xml:space="preserve"> and </w:t>
      </w:r>
      <w:r w:rsidRPr="001E0C04">
        <w:t xml:space="preserve">this formulation simulates the operation of a competitive market. </w:t>
      </w:r>
      <w:r>
        <w:t xml:space="preserve">The analyses address only a subset of the </w:t>
      </w:r>
      <w:r w:rsidR="00814276">
        <w:t>CO2 taxation</w:t>
      </w:r>
      <w:r>
        <w:t xml:space="preserve"> polic</w:t>
      </w:r>
      <w:r w:rsidR="00E71884">
        <w:t>y</w:t>
      </w:r>
      <w:r>
        <w:t xml:space="preserve"> and possible effects on </w:t>
      </w:r>
      <w:r w:rsidR="00E71884">
        <w:t xml:space="preserve">CO2 emissions reduction, energy costs and </w:t>
      </w:r>
      <w:r>
        <w:t>energy security. Energy security has multiple features, which cannot be easily combined into a single indicator, so energy security is not used as a quantitative target or a technical modelling constraint in the MARKAL’s scenarios.</w:t>
      </w:r>
    </w:p>
    <w:p w:rsidR="00256620" w:rsidRPr="001E0C04" w:rsidRDefault="00256620" w:rsidP="00745F81">
      <w:pPr>
        <w:pStyle w:val="Heading2"/>
        <w:spacing w:before="100" w:beforeAutospacing="1" w:after="100" w:afterAutospacing="1"/>
        <w:rPr>
          <w:rFonts w:ascii="Times New Roman" w:hAnsi="Times New Roman"/>
          <w:b w:val="0"/>
          <w:i w:val="0"/>
          <w:sz w:val="20"/>
        </w:rPr>
      </w:pPr>
      <w:r w:rsidRPr="001E0C04">
        <w:rPr>
          <w:rFonts w:ascii="Times New Roman" w:hAnsi="Times New Roman"/>
          <w:b w:val="0"/>
          <w:i w:val="0"/>
          <w:sz w:val="20"/>
        </w:rPr>
        <w:t xml:space="preserve">The </w:t>
      </w:r>
      <w:r w:rsidRPr="00F001DC">
        <w:rPr>
          <w:rFonts w:ascii="Times New Roman" w:hAnsi="Times New Roman"/>
          <w:b w:val="0"/>
          <w:i w:val="0"/>
          <w:sz w:val="20"/>
        </w:rPr>
        <w:t>EPAUS9r</w:t>
      </w:r>
      <w:r w:rsidR="00745F81">
        <w:rPr>
          <w:rFonts w:ascii="Times New Roman" w:hAnsi="Times New Roman"/>
          <w:b w:val="0"/>
          <w:i w:val="0"/>
          <w:sz w:val="20"/>
        </w:rPr>
        <w:t>2012</w:t>
      </w:r>
      <w:r w:rsidRPr="00F001DC">
        <w:rPr>
          <w:rFonts w:ascii="Times New Roman" w:hAnsi="Times New Roman"/>
          <w:b w:val="0"/>
          <w:i w:val="0"/>
          <w:sz w:val="20"/>
        </w:rPr>
        <w:t xml:space="preserve"> </w:t>
      </w:r>
      <w:r>
        <w:rPr>
          <w:rFonts w:ascii="Times New Roman" w:hAnsi="Times New Roman"/>
          <w:b w:val="0"/>
          <w:i w:val="0"/>
          <w:sz w:val="20"/>
        </w:rPr>
        <w:t xml:space="preserve">database </w:t>
      </w:r>
      <w:proofErr w:type="gramStart"/>
      <w:r>
        <w:rPr>
          <w:rFonts w:ascii="Times New Roman" w:hAnsi="Times New Roman"/>
          <w:b w:val="0"/>
          <w:i w:val="0"/>
          <w:sz w:val="20"/>
        </w:rPr>
        <w:t>was</w:t>
      </w:r>
      <w:r w:rsidRPr="001E0C04">
        <w:rPr>
          <w:rFonts w:ascii="Times New Roman" w:hAnsi="Times New Roman"/>
          <w:b w:val="0"/>
          <w:i w:val="0"/>
          <w:sz w:val="20"/>
        </w:rPr>
        <w:t xml:space="preserve"> </w:t>
      </w:r>
      <w:r>
        <w:rPr>
          <w:rFonts w:ascii="Times New Roman" w:hAnsi="Times New Roman"/>
          <w:b w:val="0"/>
          <w:i w:val="0"/>
          <w:sz w:val="20"/>
        </w:rPr>
        <w:t xml:space="preserve">slightly </w:t>
      </w:r>
      <w:r w:rsidRPr="001E0C04">
        <w:rPr>
          <w:rFonts w:ascii="Times New Roman" w:hAnsi="Times New Roman"/>
          <w:b w:val="0"/>
          <w:i w:val="0"/>
          <w:sz w:val="20"/>
        </w:rPr>
        <w:t>modified</w:t>
      </w:r>
      <w:proofErr w:type="gramEnd"/>
      <w:r w:rsidRPr="001E0C04">
        <w:rPr>
          <w:rFonts w:ascii="Times New Roman" w:hAnsi="Times New Roman"/>
          <w:b w:val="0"/>
          <w:i w:val="0"/>
          <w:sz w:val="20"/>
        </w:rPr>
        <w:t xml:space="preserve"> for </w:t>
      </w:r>
      <w:r w:rsidR="00745F81">
        <w:rPr>
          <w:rFonts w:ascii="Times New Roman" w:hAnsi="Times New Roman"/>
          <w:b w:val="0"/>
          <w:i w:val="0"/>
          <w:sz w:val="20"/>
        </w:rPr>
        <w:t xml:space="preserve">one scenario </w:t>
      </w:r>
      <w:r w:rsidR="00BA2FDC">
        <w:rPr>
          <w:rFonts w:ascii="Times New Roman" w:hAnsi="Times New Roman"/>
          <w:b w:val="0"/>
          <w:i w:val="0"/>
          <w:sz w:val="20"/>
        </w:rPr>
        <w:t>(</w:t>
      </w:r>
      <w:r>
        <w:rPr>
          <w:rFonts w:ascii="Times New Roman" w:hAnsi="Times New Roman"/>
          <w:b w:val="0"/>
          <w:i w:val="0"/>
          <w:sz w:val="20"/>
        </w:rPr>
        <w:t xml:space="preserve">we </w:t>
      </w:r>
      <w:r w:rsidR="00745F81">
        <w:rPr>
          <w:rFonts w:ascii="Times New Roman" w:hAnsi="Times New Roman"/>
          <w:b w:val="0"/>
          <w:i w:val="0"/>
          <w:sz w:val="20"/>
        </w:rPr>
        <w:t>changed the CCS technologies profile and</w:t>
      </w:r>
      <w:r>
        <w:rPr>
          <w:rFonts w:ascii="Times New Roman" w:hAnsi="Times New Roman"/>
          <w:b w:val="0"/>
          <w:i w:val="0"/>
          <w:sz w:val="20"/>
        </w:rPr>
        <w:t xml:space="preserve"> included </w:t>
      </w:r>
      <w:r w:rsidR="00745F81">
        <w:rPr>
          <w:rFonts w:ascii="Times New Roman" w:hAnsi="Times New Roman"/>
          <w:b w:val="0"/>
          <w:i w:val="0"/>
          <w:sz w:val="20"/>
        </w:rPr>
        <w:t>learning rates for coal and gas plants with CCS</w:t>
      </w:r>
      <w:r w:rsidR="00BA2FDC">
        <w:rPr>
          <w:rFonts w:ascii="Times New Roman" w:hAnsi="Times New Roman"/>
          <w:b w:val="0"/>
          <w:i w:val="0"/>
          <w:sz w:val="20"/>
        </w:rPr>
        <w:t xml:space="preserve">). The learning rates </w:t>
      </w:r>
      <w:proofErr w:type="gramStart"/>
      <w:r w:rsidR="00BA2FDC">
        <w:rPr>
          <w:rFonts w:ascii="Times New Roman" w:hAnsi="Times New Roman"/>
          <w:b w:val="0"/>
          <w:i w:val="0"/>
          <w:sz w:val="20"/>
        </w:rPr>
        <w:t xml:space="preserve">were </w:t>
      </w:r>
      <w:r w:rsidR="00814276">
        <w:rPr>
          <w:rFonts w:ascii="Times New Roman" w:hAnsi="Times New Roman"/>
          <w:b w:val="0"/>
          <w:i w:val="0"/>
          <w:sz w:val="20"/>
        </w:rPr>
        <w:t>derived</w:t>
      </w:r>
      <w:proofErr w:type="gramEnd"/>
      <w:r w:rsidR="00814276">
        <w:rPr>
          <w:rFonts w:ascii="Times New Roman" w:hAnsi="Times New Roman"/>
          <w:b w:val="0"/>
          <w:i w:val="0"/>
          <w:sz w:val="20"/>
        </w:rPr>
        <w:t xml:space="preserve"> from the Energy Information Administration’s </w:t>
      </w:r>
      <w:r w:rsidR="00E71884">
        <w:rPr>
          <w:rFonts w:ascii="Times New Roman" w:hAnsi="Times New Roman"/>
          <w:b w:val="0"/>
          <w:i w:val="0"/>
          <w:sz w:val="20"/>
        </w:rPr>
        <w:t>(</w:t>
      </w:r>
      <w:r w:rsidR="00E71884" w:rsidRPr="00E71884">
        <w:rPr>
          <w:rFonts w:ascii="Times New Roman" w:hAnsi="Times New Roman"/>
          <w:b w:val="0"/>
          <w:i w:val="0"/>
          <w:sz w:val="20"/>
        </w:rPr>
        <w:t>EIA</w:t>
      </w:r>
      <w:r w:rsidR="00E71884">
        <w:rPr>
          <w:rFonts w:ascii="Times New Roman" w:hAnsi="Times New Roman"/>
          <w:b w:val="0"/>
          <w:i w:val="0"/>
          <w:sz w:val="20"/>
        </w:rPr>
        <w:t>)</w:t>
      </w:r>
      <w:r w:rsidR="00E71884" w:rsidRPr="00E71884">
        <w:rPr>
          <w:rFonts w:ascii="Times New Roman" w:hAnsi="Times New Roman"/>
          <w:b w:val="0"/>
          <w:i w:val="0"/>
          <w:sz w:val="20"/>
        </w:rPr>
        <w:t xml:space="preserve"> publication, Electricity Market Module of the National Energy </w:t>
      </w:r>
      <w:proofErr w:type="spellStart"/>
      <w:r w:rsidR="00E71884" w:rsidRPr="00E71884">
        <w:rPr>
          <w:rFonts w:ascii="Times New Roman" w:hAnsi="Times New Roman"/>
          <w:b w:val="0"/>
          <w:i w:val="0"/>
          <w:sz w:val="20"/>
        </w:rPr>
        <w:t>Modeling</w:t>
      </w:r>
      <w:proofErr w:type="spellEnd"/>
      <w:r w:rsidR="00E71884" w:rsidRPr="00E71884">
        <w:rPr>
          <w:rFonts w:ascii="Times New Roman" w:hAnsi="Times New Roman"/>
          <w:b w:val="0"/>
          <w:i w:val="0"/>
          <w:sz w:val="20"/>
        </w:rPr>
        <w:t xml:space="preserve"> System 2012</w:t>
      </w:r>
      <w:r w:rsidR="00E71884">
        <w:rPr>
          <w:rFonts w:ascii="Times New Roman" w:hAnsi="Times New Roman"/>
          <w:b w:val="0"/>
          <w:i w:val="0"/>
          <w:sz w:val="20"/>
        </w:rPr>
        <w:t xml:space="preserve"> (see </w:t>
      </w:r>
      <w:r w:rsidR="00E71884" w:rsidRPr="00E71884">
        <w:rPr>
          <w:rFonts w:ascii="Times New Roman" w:hAnsi="Times New Roman"/>
          <w:b w:val="0"/>
          <w:i w:val="0"/>
          <w:sz w:val="20"/>
        </w:rPr>
        <w:t>DOE/EIA-M068</w:t>
      </w:r>
      <w:r w:rsidR="00E71884">
        <w:rPr>
          <w:rFonts w:ascii="Times New Roman" w:hAnsi="Times New Roman"/>
          <w:b w:val="0"/>
          <w:i w:val="0"/>
          <w:sz w:val="20"/>
        </w:rPr>
        <w:t xml:space="preserve">, </w:t>
      </w:r>
      <w:r w:rsidR="00E71884" w:rsidRPr="00E71884">
        <w:rPr>
          <w:rFonts w:ascii="Times New Roman" w:hAnsi="Times New Roman"/>
          <w:b w:val="0"/>
          <w:i w:val="0"/>
          <w:sz w:val="20"/>
        </w:rPr>
        <w:t>2012)</w:t>
      </w:r>
      <w:r w:rsidRPr="001E0C04">
        <w:rPr>
          <w:rFonts w:ascii="Times New Roman" w:hAnsi="Times New Roman"/>
          <w:b w:val="0"/>
          <w:i w:val="0"/>
          <w:sz w:val="20"/>
        </w:rPr>
        <w:t xml:space="preserve">. </w:t>
      </w:r>
    </w:p>
    <w:p w:rsidR="00256620" w:rsidRDefault="00BA2FDC" w:rsidP="00745F81">
      <w:pPr>
        <w:pStyle w:val="BodyText2"/>
        <w:spacing w:before="100" w:beforeAutospacing="1" w:after="100" w:afterAutospacing="1"/>
        <w:ind w:firstLine="0"/>
      </w:pPr>
      <w:r>
        <w:t xml:space="preserve">We analysed electricity mix, abatement costs, marginal energy costs at the residential sector and energy security under different scenarios projections. </w:t>
      </w:r>
      <w:r w:rsidR="00256620">
        <w:t xml:space="preserve">Long-term energy supply security is contingent on the establishment of “efficient” diversified portfolios of primary and secondary energy sources. A more diverse system </w:t>
      </w:r>
      <w:proofErr w:type="gramStart"/>
      <w:r w:rsidR="00256620">
        <w:t>is perceived</w:t>
      </w:r>
      <w:proofErr w:type="gramEnd"/>
      <w:r w:rsidR="00256620">
        <w:t xml:space="preserve"> as having a number of benefits that make it preferable to one that is less diverse. In particular, diversity </w:t>
      </w:r>
      <w:proofErr w:type="gramStart"/>
      <w:r w:rsidR="00256620">
        <w:t>is considered</w:t>
      </w:r>
      <w:proofErr w:type="gramEnd"/>
      <w:r w:rsidR="00256620">
        <w:t xml:space="preserve"> to contribute to achieving energy security since disruption of any one source will have a smaller impact on overall energy supply. Similarly, the effects of price volatility are likely to </w:t>
      </w:r>
      <w:proofErr w:type="gramStart"/>
      <w:r w:rsidR="00256620">
        <w:t>be mitigated</w:t>
      </w:r>
      <w:proofErr w:type="gramEnd"/>
      <w:r w:rsidR="00256620">
        <w:t xml:space="preserve"> where an increasing range of sources is employed in </w:t>
      </w:r>
      <w:r w:rsidR="00CA580D">
        <w:t>energy</w:t>
      </w:r>
      <w:r w:rsidR="00256620">
        <w:t xml:space="preserve"> production. </w:t>
      </w:r>
    </w:p>
    <w:p w:rsidR="00B367D2" w:rsidRDefault="00B367D2" w:rsidP="00B367D2"/>
    <w:p w:rsidR="002A537B" w:rsidRDefault="002A537B" w:rsidP="00761B28">
      <w:pPr>
        <w:pStyle w:val="FootnoteText"/>
      </w:pPr>
      <w:r w:rsidRPr="002A537B">
        <w:lastRenderedPageBreak/>
        <w:t xml:space="preserve">We have examined </w:t>
      </w:r>
      <w:r w:rsidR="00176E0A" w:rsidRPr="001E0C04">
        <w:t>the</w:t>
      </w:r>
      <w:r w:rsidR="00176E0A">
        <w:t xml:space="preserve"> techno-economic impacts of the</w:t>
      </w:r>
      <w:r w:rsidR="0042717D">
        <w:t>se two</w:t>
      </w:r>
      <w:r w:rsidR="00176E0A">
        <w:t xml:space="preserve"> climate change policies</w:t>
      </w:r>
      <w:r w:rsidR="00176E0A" w:rsidRPr="001E0C04">
        <w:t xml:space="preserve"> </w:t>
      </w:r>
      <w:r w:rsidR="00176E0A">
        <w:t xml:space="preserve">on </w:t>
      </w:r>
      <w:r w:rsidR="00374D54">
        <w:t>carbon emissions reductions, electricity generation mix</w:t>
      </w:r>
      <w:r w:rsidR="00176E0A">
        <w:t xml:space="preserve"> and energy security</w:t>
      </w:r>
      <w:r w:rsidR="00176E0A" w:rsidRPr="002A537B">
        <w:t xml:space="preserve"> </w:t>
      </w:r>
      <w:r w:rsidRPr="002A537B">
        <w:t xml:space="preserve">through analyzing various assumptions using the following scenarios (see Table </w:t>
      </w:r>
      <w:r>
        <w:t>1</w:t>
      </w:r>
      <w:r w:rsidRPr="002A537B">
        <w:t>):</w:t>
      </w:r>
    </w:p>
    <w:p w:rsidR="002A537B" w:rsidRPr="002A537B" w:rsidRDefault="002A537B" w:rsidP="002A537B">
      <w:pPr>
        <w:pStyle w:val="BodyText2"/>
        <w:spacing w:before="100" w:beforeAutospacing="1" w:after="100" w:afterAutospacing="1"/>
        <w:ind w:left="90"/>
        <w:rPr>
          <w:b/>
        </w:rPr>
      </w:pPr>
      <w:proofErr w:type="gramStart"/>
      <w:r w:rsidRPr="002A537B">
        <w:rPr>
          <w:b/>
        </w:rPr>
        <w:t xml:space="preserve">Table </w:t>
      </w:r>
      <w:r w:rsidR="00745F81">
        <w:rPr>
          <w:b/>
        </w:rPr>
        <w:t>1</w:t>
      </w:r>
      <w:r w:rsidRPr="002A537B">
        <w:rPr>
          <w:b/>
        </w:rPr>
        <w:t>.</w:t>
      </w:r>
      <w:proofErr w:type="gramEnd"/>
      <w:r w:rsidRPr="002A537B">
        <w:rPr>
          <w:b/>
        </w:rPr>
        <w:t xml:space="preserve"> Scenario Definitions</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7918"/>
      </w:tblGrid>
      <w:tr w:rsidR="00F84617" w:rsidTr="00BA2FDC">
        <w:trPr>
          <w:trHeight w:val="352"/>
        </w:trPr>
        <w:tc>
          <w:tcPr>
            <w:tcW w:w="1245" w:type="dxa"/>
          </w:tcPr>
          <w:p w:rsidR="00F231C7" w:rsidRPr="000B5C8F" w:rsidRDefault="00F231C7" w:rsidP="00745F81">
            <w:pPr>
              <w:pStyle w:val="BodyText2"/>
              <w:spacing w:before="100" w:beforeAutospacing="1" w:after="100" w:afterAutospacing="1"/>
              <w:ind w:firstLine="0"/>
              <w:jc w:val="left"/>
              <w:rPr>
                <w:b/>
              </w:rPr>
            </w:pPr>
            <w:r w:rsidRPr="000B5C8F">
              <w:rPr>
                <w:b/>
              </w:rPr>
              <w:t>Scenario</w:t>
            </w:r>
            <w:r w:rsidR="00BA2FDC">
              <w:rPr>
                <w:b/>
              </w:rPr>
              <w:t>s</w:t>
            </w:r>
          </w:p>
        </w:tc>
        <w:tc>
          <w:tcPr>
            <w:tcW w:w="7918" w:type="dxa"/>
          </w:tcPr>
          <w:p w:rsidR="00F231C7" w:rsidRPr="000B5C8F" w:rsidRDefault="00F231C7" w:rsidP="000B5C8F">
            <w:pPr>
              <w:pStyle w:val="BodyText2"/>
              <w:spacing w:before="100" w:beforeAutospacing="1" w:after="100" w:afterAutospacing="1"/>
              <w:ind w:right="-3150" w:firstLine="0"/>
              <w:rPr>
                <w:b/>
              </w:rPr>
            </w:pPr>
            <w:r w:rsidRPr="000B5C8F">
              <w:rPr>
                <w:b/>
              </w:rPr>
              <w:t xml:space="preserve">                                                                 Descriptions</w:t>
            </w:r>
          </w:p>
        </w:tc>
      </w:tr>
      <w:tr w:rsidR="00F84617" w:rsidTr="0092017D">
        <w:trPr>
          <w:trHeight w:val="340"/>
        </w:trPr>
        <w:tc>
          <w:tcPr>
            <w:tcW w:w="1245" w:type="dxa"/>
            <w:vAlign w:val="center"/>
          </w:tcPr>
          <w:p w:rsidR="00F231C7" w:rsidRPr="000B5C8F" w:rsidRDefault="00F231C7" w:rsidP="0092017D">
            <w:pPr>
              <w:rPr>
                <w:color w:val="000000"/>
              </w:rPr>
            </w:pPr>
            <w:r w:rsidRPr="000B5C8F">
              <w:rPr>
                <w:color w:val="000000"/>
              </w:rPr>
              <w:t>BASE</w:t>
            </w:r>
            <w:r w:rsidR="00BA2FDC">
              <w:rPr>
                <w:color w:val="000000"/>
              </w:rPr>
              <w:t>9R</w:t>
            </w:r>
          </w:p>
        </w:tc>
        <w:tc>
          <w:tcPr>
            <w:tcW w:w="7918" w:type="dxa"/>
            <w:vAlign w:val="center"/>
          </w:tcPr>
          <w:p w:rsidR="00F231C7" w:rsidRDefault="008242A5" w:rsidP="0092017D">
            <w:pPr>
              <w:pStyle w:val="BodyText2"/>
              <w:spacing w:before="100" w:beforeAutospacing="1" w:after="100" w:afterAutospacing="1"/>
              <w:ind w:firstLine="0"/>
              <w:jc w:val="left"/>
            </w:pPr>
            <w:r w:rsidRPr="008242A5">
              <w:t>Base case (</w:t>
            </w:r>
            <w:r w:rsidR="00BA2FDC">
              <w:t>BASE9r scenario from the EPAUS9r 2012 database</w:t>
            </w:r>
            <w:r w:rsidRPr="008242A5">
              <w:t>)</w:t>
            </w:r>
          </w:p>
        </w:tc>
      </w:tr>
      <w:tr w:rsidR="00F84617" w:rsidTr="0092017D">
        <w:trPr>
          <w:trHeight w:val="352"/>
        </w:trPr>
        <w:tc>
          <w:tcPr>
            <w:tcW w:w="1245" w:type="dxa"/>
            <w:vAlign w:val="center"/>
          </w:tcPr>
          <w:p w:rsidR="00F231C7" w:rsidRPr="000B5C8F" w:rsidRDefault="00F231C7" w:rsidP="0092017D">
            <w:pPr>
              <w:rPr>
                <w:color w:val="000000"/>
              </w:rPr>
            </w:pPr>
            <w:r w:rsidRPr="000B5C8F">
              <w:rPr>
                <w:color w:val="000000"/>
              </w:rPr>
              <w:t>BASE</w:t>
            </w:r>
            <w:r w:rsidR="00BA2FDC">
              <w:rPr>
                <w:color w:val="000000"/>
              </w:rPr>
              <w:t>9RVT</w:t>
            </w:r>
          </w:p>
        </w:tc>
        <w:tc>
          <w:tcPr>
            <w:tcW w:w="7918" w:type="dxa"/>
            <w:vAlign w:val="center"/>
          </w:tcPr>
          <w:p w:rsidR="00F231C7" w:rsidRDefault="008242A5" w:rsidP="0092017D">
            <w:pPr>
              <w:pStyle w:val="BodyText2"/>
              <w:spacing w:before="100" w:beforeAutospacing="1" w:after="100" w:afterAutospacing="1"/>
              <w:ind w:firstLine="0"/>
              <w:jc w:val="left"/>
            </w:pPr>
            <w:r w:rsidRPr="008242A5">
              <w:t xml:space="preserve">Base case </w:t>
            </w:r>
            <w:r>
              <w:t xml:space="preserve">with </w:t>
            </w:r>
            <w:r w:rsidR="00BA2FDC" w:rsidRPr="00BA2FDC">
              <w:t>CAIR-MATS</w:t>
            </w:r>
          </w:p>
        </w:tc>
      </w:tr>
      <w:tr w:rsidR="00F84617" w:rsidTr="0092017D">
        <w:trPr>
          <w:trHeight w:val="352"/>
        </w:trPr>
        <w:tc>
          <w:tcPr>
            <w:tcW w:w="1245" w:type="dxa"/>
            <w:vAlign w:val="center"/>
          </w:tcPr>
          <w:p w:rsidR="00F231C7" w:rsidRPr="000B5C8F" w:rsidRDefault="00F231C7" w:rsidP="0092017D">
            <w:pPr>
              <w:rPr>
                <w:color w:val="000000"/>
              </w:rPr>
            </w:pPr>
            <w:r w:rsidRPr="000B5C8F">
              <w:rPr>
                <w:color w:val="000000"/>
              </w:rPr>
              <w:t>BASE</w:t>
            </w:r>
            <w:r w:rsidR="00745F81">
              <w:rPr>
                <w:color w:val="000000"/>
              </w:rPr>
              <w:t>CO2</w:t>
            </w:r>
          </w:p>
        </w:tc>
        <w:tc>
          <w:tcPr>
            <w:tcW w:w="7918" w:type="dxa"/>
            <w:vAlign w:val="center"/>
          </w:tcPr>
          <w:p w:rsidR="00F231C7" w:rsidRDefault="00425092" w:rsidP="0092017D">
            <w:pPr>
              <w:pStyle w:val="BodyText2"/>
              <w:spacing w:before="100" w:beforeAutospacing="1" w:after="100" w:afterAutospacing="1"/>
              <w:ind w:firstLine="0"/>
              <w:jc w:val="left"/>
            </w:pPr>
            <w:r w:rsidRPr="008242A5">
              <w:t xml:space="preserve">Base case </w:t>
            </w:r>
            <w:r>
              <w:t xml:space="preserve">with </w:t>
            </w:r>
            <w:r w:rsidR="00BA2FDC" w:rsidRPr="00BA2FDC">
              <w:t>CAIR-MATS</w:t>
            </w:r>
            <w:r w:rsidR="00BA2FDC">
              <w:t xml:space="preserve"> and </w:t>
            </w:r>
            <w:r w:rsidR="00BA2FDC" w:rsidRPr="00BA2FDC">
              <w:t>CO2 taxes from Sanders/Boxer Climate Legislation ($20/tCO2 in 2015 with 5.6% annual growth)</w:t>
            </w:r>
          </w:p>
        </w:tc>
      </w:tr>
      <w:tr w:rsidR="00F84617" w:rsidTr="0092017D">
        <w:trPr>
          <w:trHeight w:val="395"/>
        </w:trPr>
        <w:tc>
          <w:tcPr>
            <w:tcW w:w="1245" w:type="dxa"/>
            <w:vAlign w:val="center"/>
          </w:tcPr>
          <w:p w:rsidR="00045B0E" w:rsidRPr="000B5C8F" w:rsidRDefault="00745F81" w:rsidP="0092017D">
            <w:pPr>
              <w:rPr>
                <w:color w:val="000000"/>
              </w:rPr>
            </w:pPr>
            <w:r>
              <w:rPr>
                <w:color w:val="000000"/>
              </w:rPr>
              <w:t>CO2CCS</w:t>
            </w:r>
          </w:p>
        </w:tc>
        <w:tc>
          <w:tcPr>
            <w:tcW w:w="7918" w:type="dxa"/>
            <w:vAlign w:val="center"/>
          </w:tcPr>
          <w:tbl>
            <w:tblPr>
              <w:tblW w:w="7920" w:type="dxa"/>
              <w:tblLayout w:type="fixed"/>
              <w:tblLook w:val="04A0"/>
            </w:tblPr>
            <w:tblGrid>
              <w:gridCol w:w="7920"/>
            </w:tblGrid>
            <w:tr w:rsidR="00255C61" w:rsidRPr="00F16677" w:rsidTr="0092017D">
              <w:trPr>
                <w:trHeight w:val="269"/>
              </w:trPr>
              <w:tc>
                <w:tcPr>
                  <w:tcW w:w="7920" w:type="dxa"/>
                  <w:tcBorders>
                    <w:top w:val="nil"/>
                    <w:left w:val="nil"/>
                    <w:bottom w:val="nil"/>
                    <w:right w:val="nil"/>
                  </w:tcBorders>
                  <w:shd w:val="clear" w:color="auto" w:fill="auto"/>
                  <w:vAlign w:val="center"/>
                  <w:hideMark/>
                </w:tcPr>
                <w:p w:rsidR="00F108E9" w:rsidRPr="00F16677" w:rsidRDefault="00BA2FDC" w:rsidP="0092017D">
                  <w:pPr>
                    <w:rPr>
                      <w:color w:val="000000"/>
                      <w:lang w:val="en-US"/>
                    </w:rPr>
                  </w:pPr>
                  <w:r w:rsidRPr="00BA2FDC">
                    <w:t>BASECO2</w:t>
                  </w:r>
                  <w:r>
                    <w:t xml:space="preserve"> scenario with learning assumptions for CCS technologies</w:t>
                  </w:r>
                </w:p>
              </w:tc>
            </w:tr>
            <w:tr w:rsidR="00255C61" w:rsidRPr="00F16677" w:rsidTr="00BA2FDC">
              <w:trPr>
                <w:trHeight w:val="86"/>
              </w:trPr>
              <w:tc>
                <w:tcPr>
                  <w:tcW w:w="7920" w:type="dxa"/>
                  <w:tcBorders>
                    <w:top w:val="nil"/>
                    <w:left w:val="nil"/>
                    <w:bottom w:val="nil"/>
                    <w:right w:val="nil"/>
                  </w:tcBorders>
                  <w:shd w:val="clear" w:color="auto" w:fill="auto"/>
                  <w:hideMark/>
                </w:tcPr>
                <w:p w:rsidR="00255C61" w:rsidRPr="00F16677" w:rsidRDefault="00255C61" w:rsidP="0092017D">
                  <w:pPr>
                    <w:tabs>
                      <w:tab w:val="left" w:pos="420"/>
                    </w:tabs>
                    <w:rPr>
                      <w:rFonts w:ascii="Symbol" w:hAnsi="Symbol"/>
                      <w:color w:val="000000"/>
                      <w:lang w:val="en-US"/>
                    </w:rPr>
                  </w:pPr>
                </w:p>
              </w:tc>
            </w:tr>
          </w:tbl>
          <w:p w:rsidR="00F231C7" w:rsidRDefault="00F231C7" w:rsidP="0092017D">
            <w:pPr>
              <w:pStyle w:val="BodyText2"/>
              <w:spacing w:before="100" w:beforeAutospacing="1" w:after="100" w:afterAutospacing="1"/>
              <w:ind w:firstLine="0"/>
              <w:jc w:val="left"/>
            </w:pPr>
          </w:p>
        </w:tc>
      </w:tr>
      <w:tr w:rsidR="0092017D" w:rsidTr="0092017D">
        <w:trPr>
          <w:trHeight w:val="395"/>
        </w:trPr>
        <w:tc>
          <w:tcPr>
            <w:tcW w:w="1245" w:type="dxa"/>
            <w:vAlign w:val="center"/>
          </w:tcPr>
          <w:p w:rsidR="0092017D" w:rsidRDefault="0092017D" w:rsidP="0092017D">
            <w:pPr>
              <w:rPr>
                <w:color w:val="000000"/>
              </w:rPr>
            </w:pPr>
            <w:r>
              <w:rPr>
                <w:color w:val="000000"/>
              </w:rPr>
              <w:t>CLOWGAS</w:t>
            </w:r>
          </w:p>
        </w:tc>
        <w:tc>
          <w:tcPr>
            <w:tcW w:w="7918" w:type="dxa"/>
            <w:vAlign w:val="center"/>
          </w:tcPr>
          <w:p w:rsidR="0092017D" w:rsidRPr="00BA2FDC" w:rsidRDefault="0092017D" w:rsidP="0092017D">
            <w:r w:rsidRPr="00BA2FDC">
              <w:t>BASECO2</w:t>
            </w:r>
            <w:r>
              <w:t xml:space="preserve"> scenario with lower EUR for shale gas</w:t>
            </w:r>
          </w:p>
        </w:tc>
      </w:tr>
      <w:tr w:rsidR="0092017D" w:rsidTr="0092017D">
        <w:trPr>
          <w:trHeight w:val="395"/>
        </w:trPr>
        <w:tc>
          <w:tcPr>
            <w:tcW w:w="1245" w:type="dxa"/>
            <w:vAlign w:val="center"/>
          </w:tcPr>
          <w:p w:rsidR="0092017D" w:rsidRDefault="0092017D" w:rsidP="0092017D">
            <w:pPr>
              <w:rPr>
                <w:color w:val="000000"/>
              </w:rPr>
            </w:pPr>
            <w:r>
              <w:rPr>
                <w:color w:val="000000"/>
              </w:rPr>
              <w:t>CLGCCS</w:t>
            </w:r>
          </w:p>
        </w:tc>
        <w:tc>
          <w:tcPr>
            <w:tcW w:w="7918" w:type="dxa"/>
            <w:vAlign w:val="center"/>
          </w:tcPr>
          <w:p w:rsidR="0092017D" w:rsidRPr="00BA2FDC" w:rsidRDefault="0092017D" w:rsidP="0092017D">
            <w:r w:rsidRPr="00BA2FDC">
              <w:t>BASECO2</w:t>
            </w:r>
            <w:r>
              <w:t xml:space="preserve"> scenario with lower EUR for shale gas and improved CCS technologies</w:t>
            </w:r>
          </w:p>
        </w:tc>
      </w:tr>
    </w:tbl>
    <w:p w:rsidR="00411C5A" w:rsidRDefault="00386A91" w:rsidP="003E0BF1">
      <w:pPr>
        <w:pStyle w:val="Heading2"/>
        <w:rPr>
          <w:i w:val="0"/>
          <w:sz w:val="24"/>
          <w:szCs w:val="24"/>
        </w:rPr>
      </w:pPr>
      <w:r w:rsidRPr="00411C5A">
        <w:rPr>
          <w:i w:val="0"/>
          <w:sz w:val="24"/>
          <w:szCs w:val="24"/>
        </w:rPr>
        <w:t>Results</w:t>
      </w:r>
    </w:p>
    <w:p w:rsidR="00745F81" w:rsidRDefault="00745F81" w:rsidP="0068302B">
      <w:pPr>
        <w:pStyle w:val="BodyText2"/>
        <w:spacing w:before="100" w:beforeAutospacing="1" w:after="100" w:afterAutospacing="1"/>
        <w:ind w:firstLine="0"/>
      </w:pPr>
      <w:r w:rsidRPr="00DA0373">
        <w:t xml:space="preserve">Results </w:t>
      </w:r>
      <w:proofErr w:type="gramStart"/>
      <w:r w:rsidRPr="00DA0373">
        <w:t>are</w:t>
      </w:r>
      <w:r>
        <w:t xml:space="preserve"> </w:t>
      </w:r>
      <w:r w:rsidRPr="00DA0373">
        <w:t>presented</w:t>
      </w:r>
      <w:proofErr w:type="gramEnd"/>
      <w:r w:rsidRPr="00DA0373">
        <w:t xml:space="preserve"> in scenario format at the national and regional levels. The modelling scenarios results </w:t>
      </w:r>
      <w:proofErr w:type="gramStart"/>
      <w:r w:rsidRPr="00DA0373">
        <w:t>are compared</w:t>
      </w:r>
      <w:proofErr w:type="gramEnd"/>
      <w:r w:rsidRPr="00DA0373">
        <w:t xml:space="preserve"> to each other and a base case scenario. The reduced diversity in electricity input fuels is an important challenge in some scenarios. One aspect that is important to examine is whether gas and electricity markets continue to provide the required level of fuel diversity. In addition, diversification requires that all energy options keep open. The assessment of future energy scenarios shows that it is technically possible to achieve energy security while avoiding dangerous climate change. </w:t>
      </w:r>
      <w:r>
        <w:t xml:space="preserve">Electricity production provides a snapshot of both the effectiveness of CO2 mitigation actions and the level of energy security. </w:t>
      </w:r>
    </w:p>
    <w:p w:rsidR="000C1DE8" w:rsidRDefault="000C1DE8" w:rsidP="009B087F">
      <w:pPr>
        <w:ind w:firstLine="360"/>
      </w:pPr>
    </w:p>
    <w:p w:rsidR="000C1DE8" w:rsidRDefault="000C1DE8" w:rsidP="000C1DE8">
      <w:pPr>
        <w:pStyle w:val="FootnoteText"/>
        <w:ind w:firstLine="360"/>
      </w:pPr>
    </w:p>
    <w:p w:rsidR="00FE6F9C" w:rsidRPr="00D767DA" w:rsidRDefault="00FE6F9C" w:rsidP="0068302B">
      <w:pPr>
        <w:pStyle w:val="Heading2"/>
        <w:jc w:val="both"/>
        <w:rPr>
          <w:i w:val="0"/>
          <w:sz w:val="24"/>
          <w:szCs w:val="24"/>
        </w:rPr>
      </w:pPr>
      <w:r w:rsidRPr="00D767DA">
        <w:rPr>
          <w:i w:val="0"/>
          <w:sz w:val="24"/>
          <w:szCs w:val="24"/>
        </w:rPr>
        <w:t>Conclusions</w:t>
      </w:r>
    </w:p>
    <w:p w:rsidR="00FE6F9C" w:rsidRDefault="00FE6F9C" w:rsidP="0068302B">
      <w:pPr>
        <w:pStyle w:val="BodyText2"/>
        <w:spacing w:before="100" w:beforeAutospacing="1" w:after="100" w:afterAutospacing="1"/>
        <w:ind w:firstLine="0"/>
      </w:pPr>
      <w:r>
        <w:t xml:space="preserve">There are </w:t>
      </w:r>
      <w:r w:rsidR="006B6A28">
        <w:t>the following</w:t>
      </w:r>
      <w:r>
        <w:t xml:space="preserve"> substantial</w:t>
      </w:r>
      <w:r w:rsidR="0092017D">
        <w:t xml:space="preserve"> uncertainties facing the U.S. </w:t>
      </w:r>
      <w:r>
        <w:t xml:space="preserve">energy system: </w:t>
      </w:r>
      <w:r w:rsidR="006B6A28">
        <w:t xml:space="preserve">the risk of </w:t>
      </w:r>
      <w:proofErr w:type="gramStart"/>
      <w:r w:rsidR="006B6A28">
        <w:t>high energy</w:t>
      </w:r>
      <w:proofErr w:type="gramEnd"/>
      <w:r w:rsidR="006B6A28">
        <w:t xml:space="preserve"> prices, </w:t>
      </w:r>
      <w:r>
        <w:t xml:space="preserve">the risk of a disruption to energy supply and the risk of anthropogenic climate change. Failure to manage either of these risks may potentially result in large economic and social costs, so policies that effectively manage and reduce these risks may result in very large social benefits. We have compared policies that enhance long-term GHG emissions reductions, examined how these policies may interact with energy security, and the role of particular technologies in pursuing these policy goals. </w:t>
      </w:r>
    </w:p>
    <w:p w:rsidR="000E6CC1" w:rsidRDefault="000E6CC1" w:rsidP="0068302B">
      <w:pPr>
        <w:pStyle w:val="BodyText2"/>
        <w:spacing w:before="100" w:beforeAutospacing="1" w:after="100" w:afterAutospacing="1"/>
        <w:ind w:firstLine="0"/>
      </w:pPr>
      <w:r>
        <w:t xml:space="preserve">As global gas demand and trade </w:t>
      </w:r>
      <w:proofErr w:type="gramStart"/>
      <w:r>
        <w:t>are expected</w:t>
      </w:r>
      <w:proofErr w:type="gramEnd"/>
      <w:r>
        <w:t xml:space="preserve"> to grow significantly, gas security will become increasingly important, not only for the gas industry but also for the energy industry. The expected increase in gas demand does not in itself have to constitute a security problem, </w:t>
      </w:r>
      <w:proofErr w:type="gramStart"/>
      <w:r>
        <w:t>provided that</w:t>
      </w:r>
      <w:proofErr w:type="gramEnd"/>
      <w:r>
        <w:t xml:space="preserve"> adequate security measures are in place. However, the larger the share of gas in the fuel balance, the more important gas security becomes.</w:t>
      </w:r>
    </w:p>
    <w:p w:rsidR="000E6CC1" w:rsidRDefault="000E6CC1" w:rsidP="0068302B">
      <w:pPr>
        <w:pStyle w:val="BodyText2"/>
        <w:spacing w:before="100" w:beforeAutospacing="1" w:after="100" w:afterAutospacing="1"/>
        <w:ind w:firstLine="0"/>
      </w:pPr>
      <w:r>
        <w:t xml:space="preserve">The reduced diversity in electricity input fuels is rapidly becoming another important challenge. One aspect that needs to </w:t>
      </w:r>
      <w:proofErr w:type="gramStart"/>
      <w:r>
        <w:t>be watched</w:t>
      </w:r>
      <w:proofErr w:type="gramEnd"/>
      <w:r>
        <w:t xml:space="preserve"> carefully is whether gas and electricity markets continue to provide the required level of fuel diversity after they become deregulated. Diversification also requires that all energy options </w:t>
      </w:r>
      <w:proofErr w:type="gramStart"/>
      <w:r>
        <w:t>be kept</w:t>
      </w:r>
      <w:proofErr w:type="gramEnd"/>
      <w:r>
        <w:t xml:space="preserve"> open, including the nuclear power that is now facing a moratorium in several countries. </w:t>
      </w:r>
      <w:proofErr w:type="gramStart"/>
      <w:r>
        <w:t>Last but not least</w:t>
      </w:r>
      <w:proofErr w:type="gramEnd"/>
      <w:r>
        <w:t>, efforts should be made to maintain sufficient operating margin, increase interconnections and technical compatibility among various networks and reduce barriers to cross-border trade in gas and electricity.</w:t>
      </w:r>
    </w:p>
    <w:p w:rsidR="00FE6F9C" w:rsidRDefault="00FE6F9C" w:rsidP="0068302B">
      <w:pPr>
        <w:pStyle w:val="BodyText2"/>
        <w:spacing w:before="100" w:beforeAutospacing="1" w:after="100" w:afterAutospacing="1"/>
        <w:ind w:firstLine="0"/>
      </w:pPr>
      <w:r w:rsidRPr="008B76A0">
        <w:t>Identification of the consequences of these design feature</w:t>
      </w:r>
      <w:r w:rsidR="0092017D">
        <w:t>s</w:t>
      </w:r>
      <w:r w:rsidRPr="008B76A0">
        <w:t xml:space="preserve"> and alternative approaches requires additional </w:t>
      </w:r>
      <w:proofErr w:type="spellStart"/>
      <w:r w:rsidRPr="008B76A0">
        <w:t>modeling</w:t>
      </w:r>
      <w:proofErr w:type="spellEnd"/>
      <w:r w:rsidRPr="008B76A0">
        <w:t xml:space="preserve"> and analysis. However, it is clear that fossil fuels plants with CCS will play an important part under any GHG regulations strategy that address considerable CO2 reduction and acceleration support and funding for the large</w:t>
      </w:r>
      <w:r w:rsidRPr="008B76A0">
        <w:rPr>
          <w:rFonts w:ascii="Cambria Math" w:hAnsi="Cambria Math" w:cs="Cambria Math"/>
        </w:rPr>
        <w:t>‐</w:t>
      </w:r>
      <w:r w:rsidRPr="008B76A0">
        <w:t>scale CCS demonstrations is crucial for the policies implementation. CCS technologies mitigated the increase in electricity prices and reduction in overall electricity generation driven by the various CO2 reduction scenarios we examined. Delays in</w:t>
      </w:r>
      <w:r w:rsidR="0092017D">
        <w:t xml:space="preserve"> CCS funding decisions that </w:t>
      </w:r>
      <w:proofErr w:type="gramStart"/>
      <w:r w:rsidR="0092017D">
        <w:t xml:space="preserve">are </w:t>
      </w:r>
      <w:r w:rsidRPr="008B76A0">
        <w:t>caused</w:t>
      </w:r>
      <w:proofErr w:type="gramEnd"/>
      <w:r w:rsidRPr="008B76A0">
        <w:t xml:space="preserve"> by a number of factors must be addressed.</w:t>
      </w:r>
    </w:p>
    <w:p w:rsidR="00FE6F9C" w:rsidRDefault="00FE6F9C" w:rsidP="00FE6F9C">
      <w:pPr>
        <w:pStyle w:val="Heading2"/>
        <w:rPr>
          <w:i w:val="0"/>
          <w:sz w:val="24"/>
          <w:szCs w:val="24"/>
        </w:rPr>
      </w:pPr>
      <w:r w:rsidRPr="00D767DA">
        <w:rPr>
          <w:i w:val="0"/>
          <w:sz w:val="24"/>
          <w:szCs w:val="24"/>
        </w:rPr>
        <w:lastRenderedPageBreak/>
        <w:t>References</w:t>
      </w:r>
    </w:p>
    <w:p w:rsidR="00FE6F9C" w:rsidRDefault="00FE6F9C" w:rsidP="00FE6F9C">
      <w:r>
        <w:t xml:space="preserve">Angelopoulos, K., Economides, G., </w:t>
      </w:r>
      <w:proofErr w:type="spellStart"/>
      <w:r>
        <w:t>Philippopoulos</w:t>
      </w:r>
      <w:proofErr w:type="spellEnd"/>
      <w:r>
        <w:t xml:space="preserve">, A. (2010), What is the Best Environmental Policy?, Taxes, Permits and Rules under Economic and Environmental Uncertainty, </w:t>
      </w:r>
      <w:proofErr w:type="spellStart"/>
      <w:r>
        <w:t>CESifo</w:t>
      </w:r>
      <w:proofErr w:type="spellEnd"/>
      <w:r>
        <w:t xml:space="preserve"> Working Paper Series No. 2980, March  2010, http://papers.ssrn.com/sol3/papers.cfm?abstract_id=1571058, </w:t>
      </w:r>
    </w:p>
    <w:p w:rsidR="002456D7" w:rsidRDefault="002456D7" w:rsidP="00FE6F9C">
      <w:pPr>
        <w:rPr>
          <w:lang w:val="en-US"/>
        </w:rPr>
      </w:pPr>
    </w:p>
    <w:p w:rsidR="00FE6F9C" w:rsidRPr="00AA059F" w:rsidRDefault="00FE6F9C" w:rsidP="00FE6F9C">
      <w:pPr>
        <w:rPr>
          <w:lang w:val="en-US"/>
        </w:rPr>
      </w:pPr>
      <w:r w:rsidRPr="00AA059F">
        <w:rPr>
          <w:lang w:val="en-US"/>
        </w:rPr>
        <w:t xml:space="preserve">DB (2010), Deutsche Bank Group Climate Change Advisors, Natural Gas and </w:t>
      </w:r>
      <w:proofErr w:type="spellStart"/>
      <w:r w:rsidRPr="00AA059F">
        <w:rPr>
          <w:lang w:val="en-US"/>
        </w:rPr>
        <w:t>Renewables</w:t>
      </w:r>
      <w:proofErr w:type="spellEnd"/>
      <w:r w:rsidRPr="00AA059F">
        <w:rPr>
          <w:lang w:val="en-US"/>
        </w:rPr>
        <w:t xml:space="preserve">: A Secure Low Carbon Future Energy Plan for the United States, Deutsche Bank, online: </w:t>
      </w:r>
      <w:hyperlink r:id="rId8" w:history="1">
        <w:r w:rsidRPr="00AA059F">
          <w:rPr>
            <w:rStyle w:val="Hyperlink"/>
            <w:lang w:val="en-US"/>
          </w:rPr>
          <w:t>http://www.anga.us/media/180381/deutsche%20bank%20report-%20nov%202010.pdf</w:t>
        </w:r>
      </w:hyperlink>
    </w:p>
    <w:p w:rsidR="002456D7" w:rsidRDefault="002456D7" w:rsidP="00FE6F9C"/>
    <w:p w:rsidR="00FE6F9C" w:rsidRDefault="00FE6F9C" w:rsidP="00FE6F9C">
      <w:r>
        <w:t>Duncan, A. (1999), Economic Instruments for Pollution Control and Prevention – A Brief Overview, World Resources Institute, September, 1999, http://pdf.wri.org/incentives_austin.pdf. Accessed 29 May 2012</w:t>
      </w:r>
    </w:p>
    <w:p w:rsidR="00FE6F9C" w:rsidRDefault="00FE6F9C" w:rsidP="00FE6F9C">
      <w:proofErr w:type="spellStart"/>
      <w:r>
        <w:t>Bovenberg</w:t>
      </w:r>
      <w:proofErr w:type="spellEnd"/>
      <w:r>
        <w:t xml:space="preserve">, A. L. &amp; </w:t>
      </w:r>
      <w:proofErr w:type="spellStart"/>
      <w:r>
        <w:t>Goulder</w:t>
      </w:r>
      <w:proofErr w:type="spellEnd"/>
      <w:r>
        <w:t xml:space="preserve">, L.H. (2002), Environmental taxation and regulation, Handbook of Public Economics, in: A. J. </w:t>
      </w:r>
      <w:proofErr w:type="spellStart"/>
      <w:r>
        <w:t>Auerbach</w:t>
      </w:r>
      <w:proofErr w:type="spellEnd"/>
      <w:r>
        <w:t xml:space="preserve"> &amp; M. Feldstein (ed.), Handbook of Public Economics, edition 1, volume 3, chapter 23, pages 1471-1545 Elsevier. </w:t>
      </w:r>
    </w:p>
    <w:p w:rsidR="002456D7" w:rsidRDefault="002456D7" w:rsidP="00FE6F9C">
      <w:pPr>
        <w:rPr>
          <w:lang w:val="en-US"/>
        </w:rPr>
      </w:pPr>
    </w:p>
    <w:p w:rsidR="00FE6F9C" w:rsidRPr="00AA059F" w:rsidRDefault="00FE6F9C" w:rsidP="00FE6F9C">
      <w:pPr>
        <w:rPr>
          <w:lang w:val="en-US"/>
        </w:rPr>
      </w:pPr>
      <w:r w:rsidRPr="00AA059F">
        <w:rPr>
          <w:lang w:val="en-US"/>
        </w:rPr>
        <w:t xml:space="preserve">EIA (2010a), Updated Capital Cost Estimates for Electricity Generation Plants, online: </w:t>
      </w:r>
      <w:hyperlink r:id="rId9" w:history="1">
        <w:r w:rsidRPr="00AA059F">
          <w:rPr>
            <w:rStyle w:val="Hyperlink"/>
            <w:lang w:val="en-US"/>
          </w:rPr>
          <w:t>http://www.eia.doe.gov/oiaf/beck_plantcosts/pdf/updatedplantcosts.pdf</w:t>
        </w:r>
      </w:hyperlink>
    </w:p>
    <w:p w:rsidR="002456D7" w:rsidRDefault="002456D7" w:rsidP="00FE6F9C">
      <w:pPr>
        <w:rPr>
          <w:lang w:val="en-US"/>
        </w:rPr>
      </w:pPr>
    </w:p>
    <w:p w:rsidR="00FE6F9C" w:rsidRPr="00AA059F" w:rsidRDefault="00FE6F9C" w:rsidP="00FE6F9C">
      <w:pPr>
        <w:rPr>
          <w:lang w:val="en-US"/>
        </w:rPr>
      </w:pPr>
      <w:r w:rsidRPr="00AA059F">
        <w:rPr>
          <w:lang w:val="en-US"/>
        </w:rPr>
        <w:t xml:space="preserve">EIA (2010b), Electricity Market Module, April 2010, online: </w:t>
      </w:r>
      <w:hyperlink r:id="rId10" w:history="1">
        <w:r w:rsidRPr="00AA059F">
          <w:rPr>
            <w:rStyle w:val="Hyperlink"/>
            <w:lang w:val="en-US"/>
          </w:rPr>
          <w:t>http://www.eia.gov/oiaf/aeo/assumption/pdf/electricity.pdf</w:t>
        </w:r>
      </w:hyperlink>
    </w:p>
    <w:p w:rsidR="002456D7" w:rsidRDefault="002456D7" w:rsidP="00FE6F9C">
      <w:pPr>
        <w:rPr>
          <w:lang w:val="en-US"/>
        </w:rPr>
      </w:pPr>
    </w:p>
    <w:p w:rsidR="00FE6F9C" w:rsidRPr="00AA059F" w:rsidRDefault="00FE6F9C" w:rsidP="00FE6F9C">
      <w:pPr>
        <w:rPr>
          <w:lang w:val="en-US"/>
        </w:rPr>
      </w:pPr>
      <w:r w:rsidRPr="00AA059F">
        <w:rPr>
          <w:lang w:val="en-US"/>
        </w:rPr>
        <w:t>EIA (2011</w:t>
      </w:r>
      <w:r>
        <w:rPr>
          <w:lang w:val="en-US"/>
        </w:rPr>
        <w:t>a</w:t>
      </w:r>
      <w:r w:rsidRPr="00AA059F">
        <w:rPr>
          <w:lang w:val="en-US"/>
        </w:rPr>
        <w:t>)</w:t>
      </w:r>
      <w:proofErr w:type="gramStart"/>
      <w:r w:rsidRPr="00AA059F">
        <w:rPr>
          <w:lang w:val="en-US"/>
        </w:rPr>
        <w:t>,  Assumptions</w:t>
      </w:r>
      <w:proofErr w:type="gramEnd"/>
      <w:r w:rsidRPr="00AA059F">
        <w:rPr>
          <w:lang w:val="en-US"/>
        </w:rPr>
        <w:t xml:space="preserve"> to the Annual Energy Outlook 2011, U.S. Energy Information Administration, July 2011, online: </w:t>
      </w:r>
      <w:hyperlink r:id="rId11" w:history="1">
        <w:r w:rsidRPr="00AA059F">
          <w:rPr>
            <w:rStyle w:val="Hyperlink"/>
            <w:lang w:val="en-US"/>
          </w:rPr>
          <w:t>ftp://ftp.eia.doe.gov/forecasting/0554(2011).pdf</w:t>
        </w:r>
      </w:hyperlink>
    </w:p>
    <w:p w:rsidR="002456D7" w:rsidRDefault="002456D7" w:rsidP="00FE6F9C"/>
    <w:p w:rsidR="00FE6F9C" w:rsidRDefault="00FE6F9C" w:rsidP="00FE6F9C">
      <w:r>
        <w:t>EPA (2005)</w:t>
      </w:r>
      <w:proofErr w:type="gramStart"/>
      <w:r>
        <w:t>,  Standalone</w:t>
      </w:r>
      <w:proofErr w:type="gramEnd"/>
      <w:r>
        <w:t xml:space="preserve"> documentation for EPA base case 2004 (V.2.1.9) using the Integrated Planning Model, Washington DC (September 2005), http://www.epa.gov/airmarkt/progsregs/epa-ipm/docs/bc1intro.pdf </w:t>
      </w:r>
    </w:p>
    <w:p w:rsidR="002456D7" w:rsidRDefault="002456D7" w:rsidP="00FE6F9C">
      <w:pPr>
        <w:rPr>
          <w:lang w:val="en-US"/>
        </w:rPr>
      </w:pPr>
    </w:p>
    <w:p w:rsidR="00FE6F9C" w:rsidRPr="00AA059F" w:rsidRDefault="00FE6F9C" w:rsidP="00FE6F9C">
      <w:pPr>
        <w:rPr>
          <w:lang w:val="en-US"/>
        </w:rPr>
      </w:pPr>
      <w:r w:rsidRPr="00AA059F">
        <w:rPr>
          <w:lang w:val="en-US"/>
        </w:rPr>
        <w:t xml:space="preserve">EPA (2006), U.S. Environmental Protection Agency (2006). EPA U.S. National MARKAL Database: Database Documentation. Shay, C.L., J.F. </w:t>
      </w:r>
      <w:proofErr w:type="spellStart"/>
      <w:r w:rsidRPr="00AA059F">
        <w:rPr>
          <w:lang w:val="en-US"/>
        </w:rPr>
        <w:t>DeCarolis</w:t>
      </w:r>
      <w:proofErr w:type="spellEnd"/>
      <w:r w:rsidRPr="00AA059F">
        <w:rPr>
          <w:lang w:val="en-US"/>
        </w:rPr>
        <w:t xml:space="preserve">, D.H. </w:t>
      </w:r>
      <w:proofErr w:type="spellStart"/>
      <w:r w:rsidRPr="00AA059F">
        <w:rPr>
          <w:lang w:val="en-US"/>
        </w:rPr>
        <w:t>Loughlin</w:t>
      </w:r>
      <w:proofErr w:type="spellEnd"/>
      <w:r w:rsidRPr="00AA059F">
        <w:rPr>
          <w:lang w:val="en-US"/>
        </w:rPr>
        <w:t xml:space="preserve">, C.L. Gage, S. </w:t>
      </w:r>
      <w:proofErr w:type="spellStart"/>
      <w:r w:rsidRPr="00AA059F">
        <w:rPr>
          <w:lang w:val="en-US"/>
        </w:rPr>
        <w:t>Yeh</w:t>
      </w:r>
      <w:proofErr w:type="spellEnd"/>
      <w:r w:rsidRPr="00AA059F">
        <w:rPr>
          <w:lang w:val="en-US"/>
        </w:rPr>
        <w:t>, S. Vijay, E.L. Wright. Feb 2006.</w:t>
      </w:r>
    </w:p>
    <w:p w:rsidR="002456D7" w:rsidRDefault="002456D7" w:rsidP="00FE6F9C">
      <w:pPr>
        <w:rPr>
          <w:lang w:val="en-US"/>
        </w:rPr>
      </w:pPr>
    </w:p>
    <w:p w:rsidR="00FE6F9C" w:rsidRDefault="00FE6F9C" w:rsidP="00FE6F9C">
      <w:r w:rsidRPr="00AA059F">
        <w:rPr>
          <w:lang w:val="en-US"/>
        </w:rPr>
        <w:t xml:space="preserve">EPA (2011), Regulatory Impact Analysis for the Federal Implementation Plans to Reduce Interstate Transport of Fine Particulate Matter and Ozone in 27 States, U.S. EPA Office of Air and Radiation, June 2011, online: </w:t>
      </w:r>
      <w:hyperlink r:id="rId12" w:history="1">
        <w:r w:rsidRPr="00AA059F">
          <w:rPr>
            <w:rStyle w:val="Hyperlink"/>
            <w:lang w:val="en-US"/>
          </w:rPr>
          <w:t>http://www.epa.gov/airtransport/pdfs/FinalRIA.pdf</w:t>
        </w:r>
      </w:hyperlink>
    </w:p>
    <w:p w:rsidR="002456D7" w:rsidRDefault="002456D7" w:rsidP="00FE6F9C"/>
    <w:p w:rsidR="00FE6F9C" w:rsidRPr="00AA059F" w:rsidRDefault="00FE6F9C" w:rsidP="00FE6F9C">
      <w:pPr>
        <w:rPr>
          <w:lang w:val="en-US"/>
        </w:rPr>
      </w:pPr>
      <w:r>
        <w:t>EPA (2012), Regulations and Statutes, http://www.epa.gov/lawsregs/sectors/, Accessed 29 May 2012</w:t>
      </w:r>
      <w:proofErr w:type="spellStart"/>
      <w:r w:rsidRPr="00AA059F">
        <w:rPr>
          <w:lang w:val="en-US"/>
        </w:rPr>
        <w:t>Gillingham</w:t>
      </w:r>
      <w:proofErr w:type="spellEnd"/>
      <w:r w:rsidRPr="00AA059F">
        <w:rPr>
          <w:lang w:val="en-US"/>
        </w:rPr>
        <w:t xml:space="preserve">, K. (2008), Kenneth </w:t>
      </w:r>
      <w:proofErr w:type="spellStart"/>
      <w:r w:rsidRPr="00AA059F">
        <w:rPr>
          <w:lang w:val="en-US"/>
        </w:rPr>
        <w:t>Gillingham</w:t>
      </w:r>
      <w:proofErr w:type="spellEnd"/>
      <w:r w:rsidRPr="00AA059F">
        <w:rPr>
          <w:lang w:val="en-US"/>
        </w:rPr>
        <w:t xml:space="preserve"> , Richard G. Newell, and William A. </w:t>
      </w:r>
      <w:proofErr w:type="spellStart"/>
      <w:r w:rsidRPr="00AA059F">
        <w:rPr>
          <w:lang w:val="en-US"/>
        </w:rPr>
        <w:t>Pizer</w:t>
      </w:r>
      <w:proofErr w:type="spellEnd"/>
      <w:r w:rsidRPr="00AA059F">
        <w:rPr>
          <w:lang w:val="en-US"/>
        </w:rPr>
        <w:t>, Modeling endogenous technological change for climate policy analysis Energy Economics Volume 30, Issue 6, November 2008, Pages 2734-2753</w:t>
      </w:r>
    </w:p>
    <w:p w:rsidR="002456D7" w:rsidRDefault="002456D7" w:rsidP="00FE6F9C"/>
    <w:p w:rsidR="00FE6F9C" w:rsidRDefault="00FE6F9C" w:rsidP="00FE6F9C">
      <w:proofErr w:type="spellStart"/>
      <w:r>
        <w:t>Goulder</w:t>
      </w:r>
      <w:proofErr w:type="spellEnd"/>
      <w:r>
        <w:t xml:space="preserve">, L. H. &amp; Parry, I. W. H., </w:t>
      </w:r>
      <w:proofErr w:type="spellStart"/>
      <w:r>
        <w:t>Roberton</w:t>
      </w:r>
      <w:proofErr w:type="spellEnd"/>
      <w:r>
        <w:t xml:space="preserve">, W,  </w:t>
      </w:r>
      <w:proofErr w:type="spellStart"/>
      <w:r>
        <w:t>Burtraw</w:t>
      </w:r>
      <w:proofErr w:type="spellEnd"/>
      <w:r>
        <w:t>, D. (1999), The cost-effectiveness of alternative instruments for environmental protection in a second-best setting,  Journal of Public Economics, Elsevier, vol. 72(3), pages 329-360, June</w:t>
      </w:r>
    </w:p>
    <w:p w:rsidR="002456D7" w:rsidRDefault="002456D7" w:rsidP="00FE6F9C">
      <w:pPr>
        <w:rPr>
          <w:lang w:val="en-US"/>
        </w:rPr>
      </w:pPr>
    </w:p>
    <w:p w:rsidR="00FE6F9C" w:rsidRPr="00AA059F" w:rsidRDefault="00FE6F9C" w:rsidP="00FE6F9C">
      <w:pPr>
        <w:rPr>
          <w:lang w:val="en-US"/>
        </w:rPr>
      </w:pPr>
      <w:r w:rsidRPr="00AA059F">
        <w:rPr>
          <w:lang w:val="en-US"/>
        </w:rPr>
        <w:t>H.R.5575 (2008), Moratorium on Uncontrolled Power Plants Act of 2008, online: http://www.opencongress.org/bill/110-h5575/show</w:t>
      </w:r>
    </w:p>
    <w:p w:rsidR="002456D7" w:rsidRDefault="002456D7" w:rsidP="00FE6F9C">
      <w:pPr>
        <w:rPr>
          <w:lang w:val="en-US"/>
        </w:rPr>
      </w:pPr>
    </w:p>
    <w:p w:rsidR="00FE6F9C" w:rsidRPr="00AA059F" w:rsidRDefault="00FE6F9C" w:rsidP="00FE6F9C">
      <w:pPr>
        <w:rPr>
          <w:lang w:val="en-US"/>
        </w:rPr>
      </w:pPr>
      <w:r w:rsidRPr="00AA059F">
        <w:rPr>
          <w:lang w:val="en-US"/>
        </w:rPr>
        <w:t>Hugh Wynne et al</w:t>
      </w:r>
      <w:proofErr w:type="gramStart"/>
      <w:r w:rsidRPr="00AA059F">
        <w:rPr>
          <w:lang w:val="en-US"/>
        </w:rPr>
        <w:t>.(</w:t>
      </w:r>
      <w:proofErr w:type="gramEnd"/>
      <w:r w:rsidRPr="00AA059F">
        <w:rPr>
          <w:lang w:val="en-US"/>
        </w:rPr>
        <w:t xml:space="preserve">2010), U.S. Utilities: Coal-Fired Generation Is Squeezed in the Vice of EPA Regulation; Who Wins and Who Loses?, Bernstein Research, online: </w:t>
      </w:r>
      <w:hyperlink r:id="rId13" w:history="1">
        <w:r w:rsidRPr="00AA059F">
          <w:rPr>
            <w:rStyle w:val="Hyperlink"/>
            <w:lang w:val="en-US"/>
          </w:rPr>
          <w:t>http://207.114.134.6/coal/oh/downloads/bernstein-report.pdf</w:t>
        </w:r>
      </w:hyperlink>
    </w:p>
    <w:p w:rsidR="002456D7" w:rsidRDefault="002456D7" w:rsidP="00FE6F9C"/>
    <w:p w:rsidR="00FE6F9C" w:rsidRDefault="00FE6F9C" w:rsidP="00FE6F9C">
      <w:r>
        <w:t>IEA (2012), Golden Rules for a Golden Age of Gas, World Energy Outlook Special Report on Unconventional Gas, International Energy Agency, OECD/IEA, 2012</w:t>
      </w:r>
    </w:p>
    <w:p w:rsidR="002456D7" w:rsidRDefault="00FE6F9C" w:rsidP="00FE6F9C">
      <w:pPr>
        <w:rPr>
          <w:lang w:val="en-US"/>
        </w:rPr>
      </w:pPr>
      <w:r w:rsidRPr="00AA059F">
        <w:rPr>
          <w:lang w:val="en-US"/>
        </w:rPr>
        <w:t>I</w:t>
      </w:r>
    </w:p>
    <w:p w:rsidR="00FE6F9C" w:rsidRPr="00AA059F" w:rsidRDefault="00FE6F9C" w:rsidP="00FE6F9C">
      <w:pPr>
        <w:rPr>
          <w:lang w:val="en-US"/>
        </w:rPr>
      </w:pPr>
      <w:r w:rsidRPr="00AA059F">
        <w:rPr>
          <w:lang w:val="en-US"/>
        </w:rPr>
        <w:t xml:space="preserve">CF (2010c), Coal-Fired Electric Generation Unit Retirement Analysis, ICF prepared for Interstate Natural Gas Association of America, online: </w:t>
      </w:r>
      <w:hyperlink r:id="rId14" w:history="1">
        <w:r w:rsidRPr="00AA059F">
          <w:rPr>
            <w:rStyle w:val="Hyperlink"/>
            <w:lang w:val="en-US"/>
          </w:rPr>
          <w:t>http://www.ingaa.org/File.aspx?id=10371</w:t>
        </w:r>
      </w:hyperlink>
    </w:p>
    <w:p w:rsidR="002456D7" w:rsidRDefault="002456D7" w:rsidP="00FE6F9C">
      <w:pPr>
        <w:rPr>
          <w:lang w:val="en-US"/>
        </w:rPr>
      </w:pPr>
    </w:p>
    <w:p w:rsidR="00FE6F9C" w:rsidRPr="00AA059F" w:rsidRDefault="00FE6F9C" w:rsidP="00FE6F9C">
      <w:pPr>
        <w:rPr>
          <w:lang w:val="en-US"/>
        </w:rPr>
      </w:pPr>
      <w:r w:rsidRPr="00AA059F">
        <w:rPr>
          <w:lang w:val="en-US"/>
        </w:rPr>
        <w:t xml:space="preserve">ICF (2010a), Preliminary Reference Case and Scenario Results, May 2010, online: </w:t>
      </w:r>
      <w:hyperlink r:id="rId15" w:history="1">
        <w:r w:rsidRPr="00AA059F">
          <w:rPr>
            <w:rStyle w:val="Hyperlink"/>
            <w:lang w:val="en-US"/>
          </w:rPr>
          <w:t>http://grist.s3.amazonaws.com/eparegs/icf-eei_scenario_results_21may2010.pdf</w:t>
        </w:r>
      </w:hyperlink>
    </w:p>
    <w:p w:rsidR="00FE6F9C" w:rsidRPr="00AA059F" w:rsidRDefault="00FE6F9C" w:rsidP="00FE6F9C">
      <w:pPr>
        <w:rPr>
          <w:lang w:val="en-US"/>
        </w:rPr>
      </w:pPr>
      <w:r w:rsidRPr="00AA059F">
        <w:rPr>
          <w:lang w:val="en-US"/>
        </w:rPr>
        <w:lastRenderedPageBreak/>
        <w:t xml:space="preserve">ICF (2010b), Clean Air, Ash and Water Regulations: Potential Impact of EPA Proposed Rules, October 2010, online: </w:t>
      </w:r>
      <w:hyperlink r:id="rId16" w:history="1">
        <w:r w:rsidRPr="00AA059F">
          <w:rPr>
            <w:rStyle w:val="Hyperlink"/>
            <w:lang w:val="en-US"/>
          </w:rPr>
          <w:t>http://www.eei.org/meetings/Meeting%20Documents/2010-10-20-StrategicIssues-New%20CAA%20-%20Fine%20-%20ICF.pdf</w:t>
        </w:r>
      </w:hyperlink>
    </w:p>
    <w:p w:rsidR="002456D7" w:rsidRDefault="002456D7" w:rsidP="00FE6F9C">
      <w:pPr>
        <w:rPr>
          <w:lang w:val="en-US"/>
        </w:rPr>
      </w:pPr>
    </w:p>
    <w:p w:rsidR="00FE6F9C" w:rsidRPr="00AA059F" w:rsidRDefault="00FE6F9C" w:rsidP="00FE6F9C">
      <w:pPr>
        <w:rPr>
          <w:lang w:val="en-US"/>
        </w:rPr>
      </w:pPr>
      <w:r w:rsidRPr="00AA059F">
        <w:rPr>
          <w:lang w:val="en-US"/>
        </w:rPr>
        <w:t xml:space="preserve">IPCC (2005), Intergovernmental Panel on Climate Change, Carbon Dioxide Capture and Storage (IPCC Special Report), Metz, B., Davidson, O., de </w:t>
      </w:r>
      <w:proofErr w:type="spellStart"/>
      <w:r w:rsidRPr="00AA059F">
        <w:rPr>
          <w:lang w:val="en-US"/>
        </w:rPr>
        <w:t>Coninck</w:t>
      </w:r>
      <w:proofErr w:type="spellEnd"/>
      <w:r w:rsidRPr="00AA059F">
        <w:rPr>
          <w:lang w:val="en-US"/>
        </w:rPr>
        <w:t xml:space="preserve">, H., </w:t>
      </w:r>
      <w:proofErr w:type="spellStart"/>
      <w:r w:rsidRPr="00AA059F">
        <w:rPr>
          <w:lang w:val="en-US"/>
        </w:rPr>
        <w:t>Loos</w:t>
      </w:r>
      <w:proofErr w:type="spellEnd"/>
      <w:r w:rsidRPr="00AA059F">
        <w:rPr>
          <w:lang w:val="en-US"/>
        </w:rPr>
        <w:t xml:space="preserve">, M., and Meyer, L. (Eds.). NY: Cambridge University Press, online: </w:t>
      </w:r>
      <w:hyperlink r:id="rId17" w:history="1">
        <w:r w:rsidRPr="00AA059F">
          <w:rPr>
            <w:rStyle w:val="Hyperlink"/>
            <w:lang w:val="en-US"/>
          </w:rPr>
          <w:t>http://www.ipcc.ch/pdf/special-reports/srccs/srccs_wholereport.pdf</w:t>
        </w:r>
      </w:hyperlink>
    </w:p>
    <w:p w:rsidR="002456D7" w:rsidRDefault="002456D7" w:rsidP="00FE6F9C">
      <w:pPr>
        <w:rPr>
          <w:lang w:val="en-US"/>
        </w:rPr>
      </w:pPr>
    </w:p>
    <w:p w:rsidR="00FE6F9C" w:rsidRPr="00AA059F" w:rsidRDefault="00FE6F9C" w:rsidP="00FE6F9C">
      <w:pPr>
        <w:rPr>
          <w:lang w:val="en-US"/>
        </w:rPr>
      </w:pPr>
      <w:r w:rsidRPr="00AA059F">
        <w:rPr>
          <w:lang w:val="en-US"/>
        </w:rPr>
        <w:t xml:space="preserve">Kaplan, S. (2010), Energy Information Administration, Potential for Displacing Coal With Generation from Existing Natural Gas Plants, presentation to the National Capitol Area Chapter, U.S. Association for Energy Economics, online: </w:t>
      </w:r>
      <w:hyperlink r:id="rId18" w:history="1">
        <w:r w:rsidRPr="00AA059F">
          <w:rPr>
            <w:rStyle w:val="Hyperlink"/>
            <w:lang w:val="en-US"/>
          </w:rPr>
          <w:t>http://www.ncac-usaee.org/pdfs/2010_11Kaplan.pdf</w:t>
        </w:r>
      </w:hyperlink>
    </w:p>
    <w:p w:rsidR="002456D7" w:rsidRDefault="002456D7" w:rsidP="00FE6F9C"/>
    <w:p w:rsidR="00FE6F9C" w:rsidRDefault="00FE6F9C" w:rsidP="00FE6F9C">
      <w:proofErr w:type="spellStart"/>
      <w:proofErr w:type="gramStart"/>
      <w:r>
        <w:t>Loulou</w:t>
      </w:r>
      <w:proofErr w:type="spellEnd"/>
      <w:r>
        <w:t xml:space="preserve"> R, Goldstein G, Noble K (2004) Documentation for the MARKAL family of models.</w:t>
      </w:r>
      <w:proofErr w:type="gramEnd"/>
      <w:r>
        <w:t xml:space="preserve"> Energy Technology Systems Analysis Programme: Paris, France http://www.etsap.org/tools.htm Accessed 29 May 2012</w:t>
      </w:r>
    </w:p>
    <w:p w:rsidR="00FE6F9C" w:rsidRPr="00AA059F" w:rsidRDefault="00FE6F9C" w:rsidP="00FE6F9C">
      <w:pPr>
        <w:rPr>
          <w:lang w:val="en-US"/>
        </w:rPr>
      </w:pPr>
      <w:r w:rsidRPr="00AA059F">
        <w:rPr>
          <w:lang w:val="en-US"/>
        </w:rPr>
        <w:t xml:space="preserve">MJBA (2010), Ensuring a Clean, Modern Electric Generating Fleet while Maintaining Electric System Reliability, </w:t>
      </w:r>
    </w:p>
    <w:p w:rsidR="00FE6F9C" w:rsidRPr="00AA059F" w:rsidRDefault="00FE6F9C" w:rsidP="00FE6F9C">
      <w:pPr>
        <w:rPr>
          <w:lang w:val="en-US"/>
        </w:rPr>
      </w:pPr>
      <w:r w:rsidRPr="00AA059F">
        <w:rPr>
          <w:lang w:val="en-US"/>
        </w:rPr>
        <w:t xml:space="preserve">MIT (2007), </w:t>
      </w:r>
      <w:proofErr w:type="gramStart"/>
      <w:r w:rsidRPr="00AA059F">
        <w:rPr>
          <w:lang w:val="en-US"/>
        </w:rPr>
        <w:t>The</w:t>
      </w:r>
      <w:proofErr w:type="gramEnd"/>
      <w:r w:rsidRPr="00AA059F">
        <w:rPr>
          <w:lang w:val="en-US"/>
        </w:rPr>
        <w:t xml:space="preserve"> Future of Coal: Options for a Carbon-Constrained World. Cambridge, MA: Massachusetts Institute of Technology</w:t>
      </w:r>
    </w:p>
    <w:p w:rsidR="002456D7" w:rsidRDefault="002456D7" w:rsidP="00FE6F9C">
      <w:pPr>
        <w:rPr>
          <w:lang w:val="en-US"/>
        </w:rPr>
      </w:pPr>
    </w:p>
    <w:p w:rsidR="00FE6F9C" w:rsidRPr="00AA059F" w:rsidRDefault="00FE6F9C" w:rsidP="00FE6F9C">
      <w:pPr>
        <w:rPr>
          <w:lang w:val="en-US"/>
        </w:rPr>
      </w:pPr>
      <w:r w:rsidRPr="00AA059F">
        <w:rPr>
          <w:lang w:val="en-US"/>
        </w:rPr>
        <w:t xml:space="preserve">MIT (2010), The Future of Natural Gas, MIT Study on the Future of Natural Gas, online: </w:t>
      </w:r>
      <w:hyperlink r:id="rId19" w:history="1">
        <w:r w:rsidRPr="00AA059F">
          <w:rPr>
            <w:rStyle w:val="Hyperlink"/>
            <w:lang w:val="en-US"/>
          </w:rPr>
          <w:t>http://web.mit.edu/mitei/research/studies/documents/natural-gas-2011/NaturalGas_Report.pdf</w:t>
        </w:r>
      </w:hyperlink>
    </w:p>
    <w:p w:rsidR="00FE6F9C" w:rsidRPr="00AA059F" w:rsidRDefault="00FE6F9C" w:rsidP="00FE6F9C">
      <w:pPr>
        <w:rPr>
          <w:lang w:val="en-US"/>
        </w:rPr>
      </w:pPr>
      <w:r w:rsidRPr="00AA059F">
        <w:rPr>
          <w:lang w:val="en-US"/>
        </w:rPr>
        <w:t xml:space="preserve"> NERA (2011), Proposed CATR+MACT, online: http://www.americaspower.org/NERA_CATR_MACT_29.pdf</w:t>
      </w:r>
    </w:p>
    <w:p w:rsidR="002456D7" w:rsidRDefault="002456D7" w:rsidP="00FE6F9C">
      <w:pPr>
        <w:rPr>
          <w:lang w:val="en-US"/>
        </w:rPr>
      </w:pPr>
    </w:p>
    <w:p w:rsidR="00FE6F9C" w:rsidRPr="00AA059F" w:rsidRDefault="00FE6F9C" w:rsidP="00FE6F9C">
      <w:pPr>
        <w:rPr>
          <w:lang w:val="en-US"/>
        </w:rPr>
      </w:pPr>
      <w:r w:rsidRPr="00AA059F">
        <w:rPr>
          <w:lang w:val="en-US"/>
        </w:rPr>
        <w:t xml:space="preserve">NERC (2010), Special Reliability Scenario Assessment: Resource Adequacy Impacts of Potential U.S. Environmental Regulation, NERC, online: </w:t>
      </w:r>
      <w:hyperlink r:id="rId20" w:history="1">
        <w:r w:rsidRPr="00AA059F">
          <w:rPr>
            <w:rStyle w:val="Hyperlink"/>
            <w:lang w:val="en-US"/>
          </w:rPr>
          <w:t>http://www.nerc.com/files/EPA_Scenario_Final.pdf</w:t>
        </w:r>
      </w:hyperlink>
    </w:p>
    <w:p w:rsidR="002456D7" w:rsidRDefault="002456D7" w:rsidP="00FE6F9C"/>
    <w:p w:rsidR="00FE6F9C" w:rsidRDefault="00FE6F9C" w:rsidP="00FE6F9C">
      <w:r>
        <w:t xml:space="preserve">NETL (2012), NETL's Carbon Storage Program, http://www.netl.doe.gov/technologies/carbon_seq/#top, </w:t>
      </w:r>
    </w:p>
    <w:p w:rsidR="00FE6F9C" w:rsidRPr="00AA059F" w:rsidRDefault="00FE6F9C" w:rsidP="00FE6F9C">
      <w:pPr>
        <w:rPr>
          <w:lang w:val="en-US"/>
        </w:rPr>
      </w:pPr>
      <w:r w:rsidRPr="00AA059F">
        <w:rPr>
          <w:lang w:val="en-US"/>
        </w:rPr>
        <w:t>Progress in Energy and Combustion Science, Volume 35, Issue 6, December 2009, Pages 457-480</w:t>
      </w:r>
    </w:p>
    <w:p w:rsidR="002456D7" w:rsidRDefault="002456D7" w:rsidP="00FE6F9C"/>
    <w:p w:rsidR="00FE6F9C" w:rsidRDefault="00FE6F9C" w:rsidP="00FE6F9C">
      <w:proofErr w:type="spellStart"/>
      <w:r>
        <w:t>Rafaj</w:t>
      </w:r>
      <w:proofErr w:type="spellEnd"/>
      <w:r>
        <w:t xml:space="preserve"> P, </w:t>
      </w:r>
      <w:proofErr w:type="spellStart"/>
      <w:r>
        <w:t>Kypreos</w:t>
      </w:r>
      <w:proofErr w:type="spellEnd"/>
      <w:r>
        <w:t xml:space="preserve"> S, </w:t>
      </w:r>
      <w:proofErr w:type="spellStart"/>
      <w:r>
        <w:t>Barreto</w:t>
      </w:r>
      <w:proofErr w:type="spellEnd"/>
      <w:r>
        <w:t xml:space="preserve"> L (2005) Chapter 9. </w:t>
      </w:r>
      <w:proofErr w:type="gramStart"/>
      <w:r>
        <w:t>Flexible carbon mitigation policies: Analysis with a global multi-regional MARKAL model.</w:t>
      </w:r>
      <w:proofErr w:type="gramEnd"/>
      <w:r>
        <w:t xml:space="preserve"> In: </w:t>
      </w:r>
      <w:proofErr w:type="spellStart"/>
      <w:r>
        <w:t>Haurie</w:t>
      </w:r>
      <w:proofErr w:type="spellEnd"/>
      <w:r>
        <w:t xml:space="preserve"> A, </w:t>
      </w:r>
      <w:proofErr w:type="spellStart"/>
      <w:r>
        <w:t>Viguier</w:t>
      </w:r>
      <w:proofErr w:type="spellEnd"/>
      <w:r>
        <w:t xml:space="preserve"> L (</w:t>
      </w:r>
      <w:proofErr w:type="spellStart"/>
      <w:proofErr w:type="gramStart"/>
      <w:r>
        <w:t>eds</w:t>
      </w:r>
      <w:proofErr w:type="spellEnd"/>
      <w:proofErr w:type="gramEnd"/>
      <w:r>
        <w:t xml:space="preserve">) The Coupling of Climate and Economic Dynamics, Springer </w:t>
      </w:r>
      <w:proofErr w:type="spellStart"/>
      <w:r>
        <w:t>Verlag</w:t>
      </w:r>
      <w:proofErr w:type="spellEnd"/>
      <w:r>
        <w:t>: New York</w:t>
      </w:r>
    </w:p>
    <w:p w:rsidR="002456D7" w:rsidRDefault="002456D7" w:rsidP="00FE6F9C">
      <w:pPr>
        <w:rPr>
          <w:lang w:val="en-US"/>
        </w:rPr>
      </w:pPr>
    </w:p>
    <w:p w:rsidR="00FE6F9C" w:rsidRPr="00AA059F" w:rsidRDefault="00FE6F9C" w:rsidP="00FE6F9C">
      <w:pPr>
        <w:rPr>
          <w:lang w:val="en-US"/>
        </w:rPr>
      </w:pPr>
      <w:r w:rsidRPr="00AA059F">
        <w:rPr>
          <w:lang w:val="en-US"/>
        </w:rPr>
        <w:t xml:space="preserve">RFF (2009), Dallas </w:t>
      </w:r>
      <w:proofErr w:type="spellStart"/>
      <w:r w:rsidRPr="00AA059F">
        <w:rPr>
          <w:lang w:val="en-US"/>
        </w:rPr>
        <w:t>Burtraw</w:t>
      </w:r>
      <w:proofErr w:type="spellEnd"/>
      <w:r w:rsidRPr="00AA059F">
        <w:rPr>
          <w:lang w:val="en-US"/>
        </w:rPr>
        <w:t xml:space="preserve"> and Sarah Jo </w:t>
      </w:r>
      <w:proofErr w:type="spellStart"/>
      <w:r w:rsidRPr="00AA059F">
        <w:rPr>
          <w:lang w:val="en-US"/>
        </w:rPr>
        <w:t>Szambelan</w:t>
      </w:r>
      <w:proofErr w:type="spellEnd"/>
      <w:r w:rsidRPr="00AA059F">
        <w:rPr>
          <w:lang w:val="en-US"/>
        </w:rPr>
        <w:t xml:space="preserve">, U.S. Emissions Trading Markets for SO2 and </w:t>
      </w:r>
      <w:proofErr w:type="spellStart"/>
      <w:r w:rsidRPr="00AA059F">
        <w:rPr>
          <w:lang w:val="en-US"/>
        </w:rPr>
        <w:t>NOx</w:t>
      </w:r>
      <w:proofErr w:type="spellEnd"/>
      <w:r w:rsidRPr="00AA059F">
        <w:rPr>
          <w:lang w:val="en-US"/>
        </w:rPr>
        <w:t xml:space="preserve">, October 2009, RFF DP 09-40, online: </w:t>
      </w:r>
      <w:hyperlink r:id="rId21" w:history="1">
        <w:r w:rsidRPr="00AA059F">
          <w:rPr>
            <w:rStyle w:val="Hyperlink"/>
            <w:lang w:val="en-US"/>
          </w:rPr>
          <w:t>www.rff.org/documents/RFF-DP-09-40.pdf</w:t>
        </w:r>
      </w:hyperlink>
    </w:p>
    <w:p w:rsidR="002456D7" w:rsidRDefault="002456D7" w:rsidP="00FE6F9C">
      <w:pPr>
        <w:rPr>
          <w:lang w:val="en-US"/>
        </w:rPr>
      </w:pPr>
    </w:p>
    <w:p w:rsidR="00FE6F9C" w:rsidRPr="00AA059F" w:rsidRDefault="00FE6F9C" w:rsidP="00FE6F9C">
      <w:pPr>
        <w:rPr>
          <w:lang w:val="en-US"/>
        </w:rPr>
      </w:pPr>
      <w:r w:rsidRPr="00AA059F">
        <w:rPr>
          <w:lang w:val="en-US"/>
        </w:rPr>
        <w:t xml:space="preserve">RFF (2011), Anthony Paul, Karen Palmer, and Matt </w:t>
      </w:r>
      <w:proofErr w:type="spellStart"/>
      <w:r w:rsidRPr="00AA059F">
        <w:rPr>
          <w:lang w:val="en-US"/>
        </w:rPr>
        <w:t>Woerman</w:t>
      </w:r>
      <w:proofErr w:type="spellEnd"/>
      <w:r w:rsidRPr="00AA059F">
        <w:rPr>
          <w:lang w:val="en-US"/>
        </w:rPr>
        <w:t xml:space="preserve">, Clean Energy Standards for Electricity Policy: Design Implications for Emissions, Supply, Prices, and Regions, Resources for the Future, July 2011, online: </w:t>
      </w:r>
      <w:hyperlink r:id="rId22" w:history="1">
        <w:r w:rsidRPr="00AA059F">
          <w:rPr>
            <w:rStyle w:val="Hyperlink"/>
            <w:lang w:val="en-US"/>
          </w:rPr>
          <w:t>http://www.rff.org/RFF/Documents/RFF-DP-11-35.pdf</w:t>
        </w:r>
      </w:hyperlink>
    </w:p>
    <w:p w:rsidR="002456D7" w:rsidRDefault="002456D7" w:rsidP="00FE6F9C">
      <w:pPr>
        <w:rPr>
          <w:lang w:val="en-US"/>
        </w:rPr>
      </w:pPr>
    </w:p>
    <w:p w:rsidR="00FE6F9C" w:rsidRPr="00AA059F" w:rsidRDefault="00FE6F9C" w:rsidP="00FE6F9C">
      <w:pPr>
        <w:rPr>
          <w:lang w:val="en-US"/>
        </w:rPr>
      </w:pPr>
      <w:r w:rsidRPr="00AA059F">
        <w:rPr>
          <w:lang w:val="en-US"/>
        </w:rPr>
        <w:t xml:space="preserve">Science (2002), Martin I. </w:t>
      </w:r>
      <w:proofErr w:type="spellStart"/>
      <w:r w:rsidRPr="00AA059F">
        <w:rPr>
          <w:lang w:val="en-US"/>
        </w:rPr>
        <w:t>Hoffert</w:t>
      </w:r>
      <w:proofErr w:type="spellEnd"/>
      <w:r w:rsidRPr="00AA059F">
        <w:rPr>
          <w:lang w:val="en-US"/>
        </w:rPr>
        <w:t xml:space="preserve">, , Ken </w:t>
      </w:r>
      <w:proofErr w:type="spellStart"/>
      <w:r w:rsidRPr="00AA059F">
        <w:rPr>
          <w:lang w:val="en-US"/>
        </w:rPr>
        <w:t>Caldeira</w:t>
      </w:r>
      <w:proofErr w:type="spellEnd"/>
      <w:r w:rsidRPr="00AA059F">
        <w:rPr>
          <w:lang w:val="en-US"/>
        </w:rPr>
        <w:t xml:space="preserve">, Gregory </w:t>
      </w:r>
      <w:proofErr w:type="spellStart"/>
      <w:r w:rsidRPr="00AA059F">
        <w:rPr>
          <w:lang w:val="en-US"/>
        </w:rPr>
        <w:t>Benford</w:t>
      </w:r>
      <w:proofErr w:type="spellEnd"/>
      <w:r w:rsidRPr="00AA059F">
        <w:rPr>
          <w:lang w:val="en-US"/>
        </w:rPr>
        <w:t xml:space="preserve">, David R. Criswell, Christopher Green, Howard Herzog, </w:t>
      </w:r>
      <w:proofErr w:type="spellStart"/>
      <w:r w:rsidRPr="00AA059F">
        <w:rPr>
          <w:lang w:val="en-US"/>
        </w:rPr>
        <w:t>Atul</w:t>
      </w:r>
      <w:proofErr w:type="spellEnd"/>
      <w:r w:rsidRPr="00AA059F">
        <w:rPr>
          <w:lang w:val="en-US"/>
        </w:rPr>
        <w:t xml:space="preserve"> K. Jain, </w:t>
      </w:r>
      <w:proofErr w:type="spellStart"/>
      <w:r w:rsidRPr="00AA059F">
        <w:rPr>
          <w:lang w:val="en-US"/>
        </w:rPr>
        <w:t>Haroon</w:t>
      </w:r>
      <w:proofErr w:type="spellEnd"/>
      <w:r w:rsidRPr="00AA059F">
        <w:rPr>
          <w:lang w:val="en-US"/>
        </w:rPr>
        <w:t xml:space="preserve"> S. </w:t>
      </w:r>
      <w:proofErr w:type="spellStart"/>
      <w:r w:rsidRPr="00AA059F">
        <w:rPr>
          <w:lang w:val="en-US"/>
        </w:rPr>
        <w:t>Kheshgi</w:t>
      </w:r>
      <w:proofErr w:type="spellEnd"/>
      <w:r w:rsidRPr="00AA059F">
        <w:rPr>
          <w:lang w:val="en-US"/>
        </w:rPr>
        <w:t xml:space="preserve">, Klaus S. </w:t>
      </w:r>
      <w:proofErr w:type="spellStart"/>
      <w:r w:rsidRPr="00AA059F">
        <w:rPr>
          <w:lang w:val="en-US"/>
        </w:rPr>
        <w:t>Lackner</w:t>
      </w:r>
      <w:proofErr w:type="spellEnd"/>
      <w:r w:rsidRPr="00AA059F">
        <w:rPr>
          <w:lang w:val="en-US"/>
        </w:rPr>
        <w:t xml:space="preserve">, John S. Lewis, H. Douglas Lightfoot, Wallace </w:t>
      </w:r>
      <w:proofErr w:type="spellStart"/>
      <w:r w:rsidRPr="00AA059F">
        <w:rPr>
          <w:lang w:val="en-US"/>
        </w:rPr>
        <w:t>Manheimer</w:t>
      </w:r>
      <w:proofErr w:type="spellEnd"/>
      <w:r w:rsidRPr="00AA059F">
        <w:rPr>
          <w:lang w:val="en-US"/>
        </w:rPr>
        <w:t xml:space="preserve">, John C. </w:t>
      </w:r>
      <w:proofErr w:type="spellStart"/>
      <w:r w:rsidRPr="00AA059F">
        <w:rPr>
          <w:lang w:val="en-US"/>
        </w:rPr>
        <w:t>Mankins</w:t>
      </w:r>
      <w:proofErr w:type="spellEnd"/>
      <w:r w:rsidRPr="00AA059F">
        <w:rPr>
          <w:lang w:val="en-US"/>
        </w:rPr>
        <w:t xml:space="preserve">, Michael E. </w:t>
      </w:r>
      <w:proofErr w:type="spellStart"/>
      <w:r w:rsidRPr="00AA059F">
        <w:rPr>
          <w:lang w:val="en-US"/>
        </w:rPr>
        <w:t>Mauel</w:t>
      </w:r>
      <w:proofErr w:type="spellEnd"/>
      <w:r w:rsidRPr="00AA059F">
        <w:rPr>
          <w:lang w:val="en-US"/>
        </w:rPr>
        <w:t xml:space="preserve">, L. John Perkins, Michael E. Schlesinger, Tyler Volk, and Tom M. L. </w:t>
      </w:r>
      <w:proofErr w:type="spellStart"/>
      <w:r w:rsidRPr="00AA059F">
        <w:rPr>
          <w:lang w:val="en-US"/>
        </w:rPr>
        <w:t>Wigley</w:t>
      </w:r>
      <w:proofErr w:type="spellEnd"/>
      <w:r w:rsidRPr="00AA059F">
        <w:rPr>
          <w:lang w:val="en-US"/>
        </w:rPr>
        <w:t>, Advanced Technology Paths to Global Climate Stability: Energy for a Greenhouse Planet, Science, 298(5595): 981-987.</w:t>
      </w:r>
    </w:p>
    <w:p w:rsidR="002456D7" w:rsidRDefault="002456D7" w:rsidP="00FE6F9C">
      <w:pPr>
        <w:rPr>
          <w:lang w:val="en-US"/>
        </w:rPr>
      </w:pPr>
    </w:p>
    <w:p w:rsidR="00FE6F9C" w:rsidRPr="00AA059F" w:rsidRDefault="00FE6F9C" w:rsidP="00FE6F9C">
      <w:pPr>
        <w:rPr>
          <w:lang w:val="en-US"/>
        </w:rPr>
      </w:pPr>
      <w:proofErr w:type="spellStart"/>
      <w:r w:rsidRPr="00AA059F">
        <w:rPr>
          <w:lang w:val="en-US"/>
        </w:rPr>
        <w:t>Simbeck</w:t>
      </w:r>
      <w:proofErr w:type="spellEnd"/>
      <w:r w:rsidRPr="00AA059F">
        <w:rPr>
          <w:lang w:val="en-US"/>
        </w:rPr>
        <w:t xml:space="preserve"> and McDonald (2001), </w:t>
      </w:r>
      <w:proofErr w:type="gramStart"/>
      <w:r w:rsidRPr="00AA059F">
        <w:rPr>
          <w:lang w:val="en-US"/>
        </w:rPr>
        <w:t>Existing</w:t>
      </w:r>
      <w:proofErr w:type="gramEnd"/>
      <w:r w:rsidRPr="00AA059F">
        <w:rPr>
          <w:lang w:val="en-US"/>
        </w:rPr>
        <w:t xml:space="preserve"> coal power plant retrofit CO2 control options analysis, in: Williams, D.J., </w:t>
      </w:r>
      <w:proofErr w:type="spellStart"/>
      <w:r w:rsidRPr="00AA059F">
        <w:rPr>
          <w:lang w:val="en-US"/>
        </w:rPr>
        <w:t>Durie</w:t>
      </w:r>
      <w:proofErr w:type="spellEnd"/>
      <w:r w:rsidRPr="00AA059F">
        <w:rPr>
          <w:lang w:val="en-US"/>
        </w:rPr>
        <w:t>, R.A., McMullan, P., Paulson, C.A.J. and Smith, A.Y. (Eds.), (IPCC 2005) Intergovernmental Panel on Climate Change (2005). Carbon Dioxide Capture and Storage, Proceedings of the 5th International Conference on Greenhouse Gas Control Technologies, Collingwood, Australia: CSIRO Publishing, pp. 103-108.</w:t>
      </w:r>
    </w:p>
    <w:p w:rsidR="002456D7" w:rsidRDefault="002456D7" w:rsidP="00FE6F9C">
      <w:pPr>
        <w:rPr>
          <w:lang w:val="en-US"/>
        </w:rPr>
      </w:pPr>
    </w:p>
    <w:p w:rsidR="00FE6F9C" w:rsidRPr="00AA059F" w:rsidRDefault="00FE6F9C" w:rsidP="00FE6F9C">
      <w:pPr>
        <w:rPr>
          <w:lang w:val="en-US"/>
        </w:rPr>
      </w:pPr>
      <w:proofErr w:type="spellStart"/>
      <w:r w:rsidRPr="00AA059F">
        <w:rPr>
          <w:lang w:val="en-US"/>
        </w:rPr>
        <w:t>Simbeck</w:t>
      </w:r>
      <w:proofErr w:type="spellEnd"/>
      <w:r w:rsidRPr="00AA059F">
        <w:rPr>
          <w:lang w:val="en-US"/>
        </w:rPr>
        <w:t xml:space="preserve"> (2001), CO2 Mitigation Economics for Existing Coal-Fired Power Plants, Presented at the U.S. Dept. of Energy National Energy Technology Laboratory (NETL), First National Conference on Carbon Sequestration, May 14-17, 2001, Washington, DC, online: </w:t>
      </w:r>
      <w:hyperlink r:id="rId23" w:history="1">
        <w:r w:rsidRPr="00AA059F">
          <w:rPr>
            <w:rStyle w:val="Hyperlink"/>
            <w:lang w:val="en-US"/>
          </w:rPr>
          <w:t>http://www.netl.doe.gov/publications/proceedings/01/carbon_seq/7c2.pdf</w:t>
        </w:r>
      </w:hyperlink>
    </w:p>
    <w:p w:rsidR="002456D7" w:rsidRDefault="002456D7" w:rsidP="00FE6F9C">
      <w:pPr>
        <w:rPr>
          <w:lang w:val="en-US"/>
        </w:rPr>
      </w:pPr>
    </w:p>
    <w:p w:rsidR="00FE6F9C" w:rsidRPr="00AA059F" w:rsidRDefault="00FE6F9C" w:rsidP="00FE6F9C">
      <w:pPr>
        <w:rPr>
          <w:lang w:val="en-US"/>
        </w:rPr>
      </w:pPr>
      <w:proofErr w:type="spellStart"/>
      <w:r w:rsidRPr="00AA059F">
        <w:rPr>
          <w:lang w:val="en-US"/>
        </w:rPr>
        <w:t>SourceWatch</w:t>
      </w:r>
      <w:proofErr w:type="spellEnd"/>
      <w:r w:rsidRPr="00AA059F">
        <w:rPr>
          <w:lang w:val="en-US"/>
        </w:rPr>
        <w:t xml:space="preserve"> (2011), Coal plant retirements, online: </w:t>
      </w:r>
      <w:hyperlink r:id="rId24" w:anchor="Recent_and_Upcoming_Retirements_and_Conversions" w:history="1">
        <w:r w:rsidRPr="00AA059F">
          <w:rPr>
            <w:rStyle w:val="Hyperlink"/>
            <w:lang w:val="en-US"/>
          </w:rPr>
          <w:t>http://www.sourcewatch.org/index.php?title=Coal_plant_retirements#Recent_and_Upcoming_Retirements_and_Conversions</w:t>
        </w:r>
      </w:hyperlink>
    </w:p>
    <w:p w:rsidR="002456D7" w:rsidRDefault="002456D7" w:rsidP="00FE6F9C">
      <w:pPr>
        <w:rPr>
          <w:lang w:val="en-US"/>
        </w:rPr>
      </w:pPr>
    </w:p>
    <w:p w:rsidR="00FE6F9C" w:rsidRPr="00AA059F" w:rsidRDefault="00FE6F9C" w:rsidP="00FE6F9C">
      <w:pPr>
        <w:rPr>
          <w:lang w:val="en-US"/>
        </w:rPr>
      </w:pPr>
      <w:r w:rsidRPr="00AA059F">
        <w:rPr>
          <w:lang w:val="en-US"/>
        </w:rPr>
        <w:t xml:space="preserve">UCSUSA (2010), online: </w:t>
      </w:r>
      <w:hyperlink r:id="rId25" w:history="1">
        <w:r w:rsidRPr="00AA059F">
          <w:rPr>
            <w:rStyle w:val="Hyperlink"/>
            <w:lang w:val="en-US"/>
          </w:rPr>
          <w:t>http://www.ucsusa.org/clean_energy/res/abouthow.html</w:t>
        </w:r>
      </w:hyperlink>
    </w:p>
    <w:p w:rsidR="00FE6F9C" w:rsidRPr="00AA059F" w:rsidRDefault="00FE6F9C" w:rsidP="00FE6F9C">
      <w:pPr>
        <w:rPr>
          <w:lang w:val="en-US"/>
        </w:rPr>
      </w:pPr>
      <w:r w:rsidRPr="00AA059F">
        <w:rPr>
          <w:lang w:val="en-US"/>
        </w:rPr>
        <w:lastRenderedPageBreak/>
        <w:t xml:space="preserve">Van den </w:t>
      </w:r>
      <w:proofErr w:type="spellStart"/>
      <w:r w:rsidRPr="00AA059F">
        <w:rPr>
          <w:lang w:val="en-US"/>
        </w:rPr>
        <w:t>Broek</w:t>
      </w:r>
      <w:proofErr w:type="spellEnd"/>
      <w:r w:rsidRPr="00AA059F">
        <w:rPr>
          <w:lang w:val="en-US"/>
        </w:rPr>
        <w:t>, M. et al</w:t>
      </w:r>
      <w:proofErr w:type="gramStart"/>
      <w:r w:rsidRPr="00AA059F">
        <w:rPr>
          <w:lang w:val="en-US"/>
        </w:rPr>
        <w:t>.(</w:t>
      </w:r>
      <w:proofErr w:type="gramEnd"/>
      <w:r w:rsidRPr="00AA059F">
        <w:rPr>
          <w:lang w:val="en-US"/>
        </w:rPr>
        <w:t xml:space="preserve">2009), </w:t>
      </w:r>
      <w:proofErr w:type="spellStart"/>
      <w:r w:rsidRPr="00AA059F">
        <w:rPr>
          <w:lang w:val="en-US"/>
        </w:rPr>
        <w:t>Hoefnagels</w:t>
      </w:r>
      <w:proofErr w:type="spellEnd"/>
      <w:r w:rsidRPr="00AA059F">
        <w:rPr>
          <w:lang w:val="en-US"/>
        </w:rPr>
        <w:t xml:space="preserve">, R., Rubin, E., </w:t>
      </w:r>
      <w:proofErr w:type="spellStart"/>
      <w:r w:rsidRPr="00AA059F">
        <w:rPr>
          <w:lang w:val="en-US"/>
        </w:rPr>
        <w:t>Turkenburg</w:t>
      </w:r>
      <w:proofErr w:type="spellEnd"/>
      <w:r w:rsidRPr="00AA059F">
        <w:rPr>
          <w:lang w:val="en-US"/>
        </w:rPr>
        <w:t xml:space="preserve">, W., </w:t>
      </w:r>
      <w:proofErr w:type="spellStart"/>
      <w:r w:rsidRPr="00AA059F">
        <w:rPr>
          <w:lang w:val="en-US"/>
        </w:rPr>
        <w:t>Faaij</w:t>
      </w:r>
      <w:proofErr w:type="spellEnd"/>
      <w:r w:rsidRPr="00AA059F">
        <w:rPr>
          <w:lang w:val="en-US"/>
        </w:rPr>
        <w:t xml:space="preserve">, A., Effects of technological learning on future cost and performance of power plants with CO2 capture, </w:t>
      </w:r>
    </w:p>
    <w:p w:rsidR="002456D7" w:rsidRDefault="002456D7" w:rsidP="00FE6F9C"/>
    <w:p w:rsidR="00FE6F9C" w:rsidRDefault="00FE6F9C" w:rsidP="00FE6F9C">
      <w:proofErr w:type="gramStart"/>
      <w:r>
        <w:t>Weitzman M. (1974): Prices vs. quantities, Review of Economic Studies, 41, 477-491.</w:t>
      </w:r>
      <w:proofErr w:type="gramEnd"/>
    </w:p>
    <w:p w:rsidR="00FE6F9C" w:rsidRDefault="00FE6F9C" w:rsidP="00FE6F9C">
      <w:proofErr w:type="gramStart"/>
      <w:r>
        <w:t>Shannon ,</w:t>
      </w:r>
      <w:proofErr w:type="gramEnd"/>
      <w:r>
        <w:t xml:space="preserve"> C. E. and W. Weaver (1963), The mathematical theory of communication. University of Illinois Press, Urbana.</w:t>
      </w:r>
    </w:p>
    <w:p w:rsidR="002456D7" w:rsidRDefault="002456D7" w:rsidP="00FE6F9C"/>
    <w:p w:rsidR="00FE6F9C" w:rsidRDefault="00FE6F9C" w:rsidP="00FE6F9C">
      <w:r>
        <w:t xml:space="preserve">Shannon, C. E. (1948), A Mathematical Theory of Communication, </w:t>
      </w:r>
      <w:proofErr w:type="gramStart"/>
      <w:r>
        <w:t>The</w:t>
      </w:r>
      <w:proofErr w:type="gramEnd"/>
      <w:r>
        <w:t xml:space="preserve"> Bell System Technical Journal, Vol. 27, pp. 379–423, 623–656, July, October, 1948. Online: </w:t>
      </w:r>
      <w:hyperlink r:id="rId26" w:history="1">
        <w:r w:rsidRPr="008D3942">
          <w:rPr>
            <w:rStyle w:val="Hyperlink"/>
          </w:rPr>
          <w:t>http://cm.bell-labs.com/cm/ms/what/shannonday/shannon1948.pdf</w:t>
        </w:r>
      </w:hyperlink>
    </w:p>
    <w:p w:rsidR="002456D7" w:rsidRDefault="002456D7" w:rsidP="00FE6F9C"/>
    <w:p w:rsidR="00FE6F9C" w:rsidRDefault="00FE6F9C" w:rsidP="00FE6F9C">
      <w:proofErr w:type="gramStart"/>
      <w:r>
        <w:t xml:space="preserve">Jansen et al. (2004), Jansen, J. C., W. G. van </w:t>
      </w:r>
      <w:proofErr w:type="spellStart"/>
      <w:r>
        <w:t>Arkel</w:t>
      </w:r>
      <w:proofErr w:type="spellEnd"/>
      <w:r>
        <w:t xml:space="preserve"> and M. G. Boots, Designing indicators of long-term energy supply security.</w:t>
      </w:r>
      <w:proofErr w:type="gramEnd"/>
      <w:r>
        <w:t xml:space="preserve"> ECN, </w:t>
      </w:r>
      <w:proofErr w:type="spellStart"/>
      <w:r>
        <w:t>Petten</w:t>
      </w:r>
      <w:proofErr w:type="spellEnd"/>
      <w:r>
        <w:t xml:space="preserve">, Netherlands, 2004. Online: </w:t>
      </w:r>
      <w:hyperlink r:id="rId27" w:history="1">
        <w:r w:rsidRPr="008D3942">
          <w:rPr>
            <w:rStyle w:val="Hyperlink"/>
          </w:rPr>
          <w:t>ftp://ecn.nl/pub/www/library/report/2004/c04007.pdf</w:t>
        </w:r>
      </w:hyperlink>
    </w:p>
    <w:p w:rsidR="002456D7" w:rsidRDefault="002456D7" w:rsidP="00FE6F9C"/>
    <w:p w:rsidR="00FE6F9C" w:rsidRDefault="00FE6F9C" w:rsidP="00FE6F9C">
      <w:r>
        <w:t xml:space="preserve">APERC (2007), </w:t>
      </w:r>
      <w:proofErr w:type="gramStart"/>
      <w:r>
        <w:t>A</w:t>
      </w:r>
      <w:proofErr w:type="gramEnd"/>
      <w:r>
        <w:t xml:space="preserve"> Quest for Energy Security in the 21st Century – Resources and Constraints. Institute of Energy Economics, Asia Pacific Energy Research Centre (APERC). Online: </w:t>
      </w:r>
      <w:hyperlink r:id="rId28" w:history="1">
        <w:r w:rsidRPr="008D3942">
          <w:rPr>
            <w:rStyle w:val="Hyperlink"/>
          </w:rPr>
          <w:t>http://www.ieej.or.jp/aperc/2007pdf/2007_Reports/APERC_2007_A_Quest_for_Energy_Security.pdf</w:t>
        </w:r>
      </w:hyperlink>
    </w:p>
    <w:p w:rsidR="002456D7" w:rsidRDefault="002456D7" w:rsidP="00FE6F9C"/>
    <w:p w:rsidR="00FE6F9C" w:rsidRDefault="00FE6F9C" w:rsidP="00FE6F9C">
      <w:proofErr w:type="gramStart"/>
      <w:r w:rsidRPr="001B7CD8">
        <w:t>GEA</w:t>
      </w:r>
      <w:r>
        <w:t xml:space="preserve"> (2</w:t>
      </w:r>
      <w:r w:rsidRPr="001B7CD8">
        <w:t>012</w:t>
      </w:r>
      <w:r>
        <w:t xml:space="preserve">), </w:t>
      </w:r>
      <w:r w:rsidRPr="00FD1D4F">
        <w:t>Global Energy Assessment: Toward a Sustainable Future.</w:t>
      </w:r>
      <w:proofErr w:type="gramEnd"/>
      <w:r w:rsidRPr="00FD1D4F">
        <w:t xml:space="preserve"> IIASA, </w:t>
      </w:r>
      <w:proofErr w:type="spellStart"/>
      <w:r w:rsidRPr="00FD1D4F">
        <w:t>Laxenburg</w:t>
      </w:r>
      <w:proofErr w:type="spellEnd"/>
      <w:r w:rsidRPr="00FD1D4F">
        <w:t>, Austria and Cambridge University Press, Cambridge, United Kingdom and New York, NY, USA</w:t>
      </w:r>
    </w:p>
    <w:p w:rsidR="00FE6F9C" w:rsidRDefault="00FE6F9C" w:rsidP="00FE6F9C">
      <w:r>
        <w:t>Stirling, A</w:t>
      </w:r>
      <w:proofErr w:type="gramStart"/>
      <w:r>
        <w:t>.(</w:t>
      </w:r>
      <w:proofErr w:type="gramEnd"/>
      <w:r>
        <w:t xml:space="preserve">1994), Diversity and ignorance in electricity supply investment: Addressing the solution rather than the problem. Energy Policy, 22 (3), pp. 195–216.Online: </w:t>
      </w:r>
      <w:hyperlink r:id="rId29" w:history="1">
        <w:r w:rsidRPr="008D3942">
          <w:rPr>
            <w:rStyle w:val="Hyperlink"/>
          </w:rPr>
          <w:t>http://www.sciencedirect.com/science/article/pii/0301421594901597</w:t>
        </w:r>
      </w:hyperlink>
    </w:p>
    <w:p w:rsidR="002456D7" w:rsidRDefault="002456D7" w:rsidP="00FE6F9C"/>
    <w:p w:rsidR="00FE6F9C" w:rsidRDefault="00FE6F9C" w:rsidP="00FE6F9C">
      <w:proofErr w:type="spellStart"/>
      <w:r>
        <w:t>Aldy</w:t>
      </w:r>
      <w:proofErr w:type="spellEnd"/>
      <w:r>
        <w:t xml:space="preserve">, J. (2011). </w:t>
      </w:r>
      <w:proofErr w:type="gramStart"/>
      <w:r>
        <w:t>Promoting Clean Energy in the American Power Sector.</w:t>
      </w:r>
      <w:proofErr w:type="gramEnd"/>
      <w:r>
        <w:t xml:space="preserve"> Hamilton Project Discussion Paper 2011-</w:t>
      </w:r>
    </w:p>
    <w:p w:rsidR="00FE6F9C" w:rsidRDefault="00FE6F9C" w:rsidP="00FE6F9C">
      <w:proofErr w:type="gramStart"/>
      <w:r>
        <w:t>04</w:t>
      </w:r>
      <w:proofErr w:type="gramEnd"/>
      <w:r>
        <w:t xml:space="preserve">, May 2011. Online: </w:t>
      </w:r>
      <w:hyperlink r:id="rId30" w:history="1">
        <w:r w:rsidRPr="008D3942">
          <w:rPr>
            <w:rStyle w:val="Hyperlink"/>
          </w:rPr>
          <w:t>http://www.brookings.edu/~/media/research/files/papers/2011/5/clean%20energy%20aldy/05_clean_energy_aldy_paper.pdf</w:t>
        </w:r>
      </w:hyperlink>
    </w:p>
    <w:p w:rsidR="002456D7" w:rsidRDefault="002456D7" w:rsidP="00FE6F9C"/>
    <w:p w:rsidR="00FE6F9C" w:rsidRDefault="00FE6F9C" w:rsidP="00FE6F9C">
      <w:proofErr w:type="spellStart"/>
      <w:r>
        <w:t>Krupnick</w:t>
      </w:r>
      <w:proofErr w:type="spellEnd"/>
      <w:r>
        <w:t>, A., Parry, I., Walls, M., Knowles, T., and Hayes, K. (2010). Toward a New National Energy Policy:</w:t>
      </w:r>
    </w:p>
    <w:p w:rsidR="00FE6F9C" w:rsidRDefault="00FE6F9C" w:rsidP="00FE6F9C">
      <w:proofErr w:type="gramStart"/>
      <w:r>
        <w:t>Assessing the Options.</w:t>
      </w:r>
      <w:proofErr w:type="gramEnd"/>
      <w:r>
        <w:t xml:space="preserve"> Resources for the Future and National Energy Policy Institute Joint Report, November</w:t>
      </w:r>
    </w:p>
    <w:p w:rsidR="00FE6F9C" w:rsidRDefault="00FE6F9C" w:rsidP="00FE6F9C">
      <w:r>
        <w:t xml:space="preserve">2010. Online: </w:t>
      </w:r>
      <w:hyperlink r:id="rId31" w:history="1">
        <w:r w:rsidRPr="008D3942">
          <w:rPr>
            <w:rStyle w:val="Hyperlink"/>
          </w:rPr>
          <w:t>http://www.rff.org/Events/Pages/Toward-a-New-National-Energy-Policy-Assessing-the-Options.aspx</w:t>
        </w:r>
      </w:hyperlink>
    </w:p>
    <w:p w:rsidR="002456D7" w:rsidRDefault="002456D7" w:rsidP="00FE6F9C"/>
    <w:p w:rsidR="00FE6F9C" w:rsidRDefault="00FE6F9C" w:rsidP="00FE6F9C">
      <w:proofErr w:type="gramStart"/>
      <w:r>
        <w:t xml:space="preserve">Palmer, K., Sweeney, R. and </w:t>
      </w:r>
      <w:proofErr w:type="spellStart"/>
      <w:r>
        <w:t>Allaire</w:t>
      </w:r>
      <w:proofErr w:type="spellEnd"/>
      <w:r>
        <w:t>, M. (2010).</w:t>
      </w:r>
      <w:proofErr w:type="gramEnd"/>
      <w:r>
        <w:t xml:space="preserve"> </w:t>
      </w:r>
      <w:proofErr w:type="gramStart"/>
      <w:r>
        <w:t>Modelling Policies to Promote Renewable and Low-Carbon Sources of Electricity, Resources for the Future Backgrounder, June 2010.</w:t>
      </w:r>
      <w:proofErr w:type="gramEnd"/>
      <w:r>
        <w:t xml:space="preserve"> Online: </w:t>
      </w:r>
      <w:hyperlink r:id="rId32" w:history="1">
        <w:r w:rsidRPr="008D3942">
          <w:rPr>
            <w:rStyle w:val="Hyperlink"/>
          </w:rPr>
          <w:t>http://www.rff.org/Publications/Pages/PublicationDetails.aspx?PublicationID=21281</w:t>
        </w:r>
      </w:hyperlink>
    </w:p>
    <w:p w:rsidR="002456D7" w:rsidRDefault="002456D7" w:rsidP="00FE6F9C"/>
    <w:p w:rsidR="00FE6F9C" w:rsidRDefault="00B11953" w:rsidP="00FE6F9C">
      <w:r>
        <w:t xml:space="preserve">Jansen, J. C., W. G. van </w:t>
      </w:r>
      <w:proofErr w:type="spellStart"/>
      <w:r>
        <w:t>Arkel</w:t>
      </w:r>
      <w:proofErr w:type="spellEnd"/>
      <w:r>
        <w:t xml:space="preserve"> and M. G. Boots, 2004: Designing indicators of long-term energy supply security. ECN, </w:t>
      </w:r>
      <w:proofErr w:type="spellStart"/>
      <w:r>
        <w:t>Petten</w:t>
      </w:r>
      <w:proofErr w:type="spellEnd"/>
      <w:r>
        <w:t xml:space="preserve">, Netherlands. Online: </w:t>
      </w:r>
      <w:hyperlink r:id="rId33" w:history="1">
        <w:r w:rsidRPr="00375927">
          <w:rPr>
            <w:rStyle w:val="Hyperlink"/>
          </w:rPr>
          <w:t>ftp://ecn.nl/pub/www/library/report/2004/c04007.pdf</w:t>
        </w:r>
      </w:hyperlink>
    </w:p>
    <w:p w:rsidR="00B11953" w:rsidRDefault="00B11953" w:rsidP="00FE6F9C"/>
    <w:p w:rsidR="005250F3" w:rsidRDefault="005250F3" w:rsidP="005250F3">
      <w:proofErr w:type="spellStart"/>
      <w:r>
        <w:t>Scheepers</w:t>
      </w:r>
      <w:proofErr w:type="spellEnd"/>
      <w:r>
        <w:t xml:space="preserve">, M. J. J., A. J. </w:t>
      </w:r>
      <w:proofErr w:type="spellStart"/>
      <w:r>
        <w:t>Seebregts</w:t>
      </w:r>
      <w:proofErr w:type="spellEnd"/>
      <w:r>
        <w:t xml:space="preserve">, J. J. de </w:t>
      </w:r>
      <w:proofErr w:type="spellStart"/>
      <w:r>
        <w:t>Jong</w:t>
      </w:r>
      <w:proofErr w:type="spellEnd"/>
      <w:r>
        <w:t xml:space="preserve"> and J. M. Maters, 2007: EU Standards for Energy Security of Supply - Updates on the Crisis Capability Index and the Supply/Demand Index Quantification for EU-27 Energy Research Centre of the Netherlands (ECN), </w:t>
      </w:r>
      <w:proofErr w:type="spellStart"/>
      <w:r>
        <w:t>Clingendael</w:t>
      </w:r>
      <w:proofErr w:type="spellEnd"/>
      <w:r>
        <w:t xml:space="preserve"> International Energy Programme (CIEP), </w:t>
      </w:r>
      <w:proofErr w:type="spellStart"/>
      <w:r>
        <w:t>Petten</w:t>
      </w:r>
      <w:proofErr w:type="spellEnd"/>
      <w:r>
        <w:t>. Online:</w:t>
      </w:r>
    </w:p>
    <w:p w:rsidR="00FE6F9C" w:rsidRDefault="00BD1D3C" w:rsidP="005250F3">
      <w:hyperlink r:id="rId34" w:history="1">
        <w:r w:rsidR="005250F3" w:rsidRPr="00375927">
          <w:rPr>
            <w:rStyle w:val="Hyperlink"/>
          </w:rPr>
          <w:t>http://www.ecn.nl/docs/library/report/2007/e07004.pdf</w:t>
        </w:r>
      </w:hyperlink>
    </w:p>
    <w:p w:rsidR="005250F3" w:rsidRDefault="005250F3" w:rsidP="005250F3"/>
    <w:p w:rsidR="00465A93" w:rsidRDefault="00633249" w:rsidP="00465A93">
      <w:proofErr w:type="spellStart"/>
      <w:proofErr w:type="gramStart"/>
      <w:r>
        <w:t>Kruyt</w:t>
      </w:r>
      <w:proofErr w:type="spellEnd"/>
      <w:r>
        <w:t xml:space="preserve"> ,</w:t>
      </w:r>
      <w:proofErr w:type="gramEnd"/>
      <w:r>
        <w:t xml:space="preserve"> et al. (2009), </w:t>
      </w:r>
      <w:proofErr w:type="spellStart"/>
      <w:r w:rsidR="00465A93">
        <w:t>Kruyt</w:t>
      </w:r>
      <w:proofErr w:type="spellEnd"/>
      <w:r w:rsidR="00465A93">
        <w:t xml:space="preserve">, B., D. P. van </w:t>
      </w:r>
      <w:proofErr w:type="spellStart"/>
      <w:r w:rsidR="00465A93">
        <w:t>Vuuren</w:t>
      </w:r>
      <w:proofErr w:type="spellEnd"/>
      <w:r w:rsidR="00465A93">
        <w:t xml:space="preserve">, H. J. M. de </w:t>
      </w:r>
      <w:proofErr w:type="spellStart"/>
      <w:r w:rsidR="00465A93">
        <w:t>Vries</w:t>
      </w:r>
      <w:proofErr w:type="spellEnd"/>
      <w:r w:rsidR="00465A93">
        <w:t xml:space="preserve"> and H. </w:t>
      </w:r>
      <w:proofErr w:type="spellStart"/>
      <w:r w:rsidR="00465A93">
        <w:t>Groenenberg</w:t>
      </w:r>
      <w:proofErr w:type="spellEnd"/>
      <w:r w:rsidR="00465A93">
        <w:t>, Indicators for energy security</w:t>
      </w:r>
      <w:r>
        <w:t>,</w:t>
      </w:r>
      <w:r w:rsidR="00465A93">
        <w:t xml:space="preserve"> Energy Policy, 37(6): 2166-2181</w:t>
      </w:r>
    </w:p>
    <w:p w:rsidR="00C424EF" w:rsidRDefault="00C424EF" w:rsidP="00465A93"/>
    <w:p w:rsidR="00C424EF" w:rsidRDefault="00C424EF" w:rsidP="00C424EF">
      <w:proofErr w:type="spellStart"/>
      <w:r>
        <w:t>Sovacool</w:t>
      </w:r>
      <w:proofErr w:type="spellEnd"/>
      <w:r>
        <w:t>, B. and M. A. Brown, 2010: Competing dimensions of energy security: An</w:t>
      </w:r>
    </w:p>
    <w:p w:rsidR="00C424EF" w:rsidRDefault="00C424EF" w:rsidP="00C424EF">
      <w:r>
        <w:t xml:space="preserve">20 international </w:t>
      </w:r>
      <w:proofErr w:type="gramStart"/>
      <w:r>
        <w:t>perspective</w:t>
      </w:r>
      <w:proofErr w:type="gramEnd"/>
      <w:r>
        <w:t>. Annual Review of Environment and Resources, 35(</w:t>
      </w:r>
      <w:proofErr w:type="gramStart"/>
      <w:r>
        <w:t>1 )</w:t>
      </w:r>
      <w:proofErr w:type="gramEnd"/>
      <w:r>
        <w:t>: 77-108</w:t>
      </w:r>
    </w:p>
    <w:p w:rsidR="00C424EF" w:rsidRDefault="00C424EF" w:rsidP="00C424EF"/>
    <w:p w:rsidR="00B17CAC" w:rsidRDefault="009354BC" w:rsidP="00B17CAC">
      <w:proofErr w:type="spellStart"/>
      <w:r>
        <w:t>Sovacool</w:t>
      </w:r>
      <w:proofErr w:type="spellEnd"/>
      <w:r>
        <w:t xml:space="preserve"> et al (2011), </w:t>
      </w:r>
      <w:r w:rsidRPr="009354BC">
        <w:t xml:space="preserve">Benjamin K. </w:t>
      </w:r>
      <w:proofErr w:type="spellStart"/>
      <w:r w:rsidRPr="009354BC">
        <w:t>Sovacool</w:t>
      </w:r>
      <w:proofErr w:type="spellEnd"/>
      <w:r w:rsidRPr="009354BC">
        <w:t xml:space="preserve">, </w:t>
      </w:r>
      <w:proofErr w:type="spellStart"/>
      <w:r w:rsidRPr="009354BC">
        <w:t>Ishani</w:t>
      </w:r>
      <w:proofErr w:type="spellEnd"/>
      <w:r w:rsidRPr="009354BC">
        <w:t xml:space="preserve"> </w:t>
      </w:r>
      <w:proofErr w:type="spellStart"/>
      <w:r w:rsidRPr="009354BC">
        <w:t>Mukherjee</w:t>
      </w:r>
      <w:proofErr w:type="spellEnd"/>
      <w:r w:rsidRPr="009354BC">
        <w:t xml:space="preserve">, Ira Martina </w:t>
      </w:r>
      <w:proofErr w:type="spellStart"/>
      <w:r w:rsidRPr="009354BC">
        <w:t>Drupady</w:t>
      </w:r>
      <w:proofErr w:type="spellEnd"/>
      <w:r w:rsidRPr="009354BC">
        <w:t xml:space="preserve">, Anthony L. </w:t>
      </w:r>
      <w:proofErr w:type="spellStart"/>
      <w:r w:rsidRPr="009354BC">
        <w:t>D’Agostino</w:t>
      </w:r>
      <w:proofErr w:type="spellEnd"/>
      <w:r>
        <w:t xml:space="preserve">, </w:t>
      </w:r>
      <w:r w:rsidR="00B17CAC">
        <w:t xml:space="preserve">Evaluating </w:t>
      </w:r>
      <w:proofErr w:type="spellStart"/>
      <w:r w:rsidR="00B17CAC">
        <w:t>energysecurity</w:t>
      </w:r>
      <w:proofErr w:type="spellEnd"/>
      <w:r w:rsidR="00B17CAC">
        <w:t xml:space="preserve"> performance from 1990 to 2010 for eighteen countries, Energy, Volume 36, Issue 10, October 2011, Pages 5846–5853</w:t>
      </w:r>
    </w:p>
    <w:p w:rsidR="00B17CAC" w:rsidRDefault="00B17CAC" w:rsidP="00B17CAC"/>
    <w:p w:rsidR="00F108E9" w:rsidRDefault="00D04D60" w:rsidP="00B17CAC">
      <w:r w:rsidRPr="00D04D60">
        <w:t>T</w:t>
      </w:r>
      <w:r>
        <w:t>he</w:t>
      </w:r>
      <w:r w:rsidRPr="00D04D60">
        <w:t xml:space="preserve"> C</w:t>
      </w:r>
      <w:r>
        <w:t>lean</w:t>
      </w:r>
      <w:r w:rsidRPr="00D04D60">
        <w:t xml:space="preserve"> E</w:t>
      </w:r>
      <w:r>
        <w:t>nergy</w:t>
      </w:r>
      <w:r w:rsidRPr="00D04D60">
        <w:t xml:space="preserve"> S</w:t>
      </w:r>
      <w:r>
        <w:t>tandard</w:t>
      </w:r>
      <w:r w:rsidRPr="00D04D60">
        <w:t xml:space="preserve"> A</w:t>
      </w:r>
      <w:r>
        <w:t>ct</w:t>
      </w:r>
      <w:r w:rsidRPr="00D04D60">
        <w:t xml:space="preserve"> </w:t>
      </w:r>
      <w:r>
        <w:t>of</w:t>
      </w:r>
      <w:r w:rsidRPr="00D04D60">
        <w:t xml:space="preserve"> 2012</w:t>
      </w:r>
      <w:r>
        <w:t xml:space="preserve">, The US </w:t>
      </w:r>
      <w:r w:rsidRPr="00D04D60">
        <w:t xml:space="preserve">Senate Committee on Energy and Natural Resources, chaired by Senator Bingaman, </w:t>
      </w:r>
      <w:r>
        <w:t xml:space="preserve">2012, online: </w:t>
      </w:r>
      <w:hyperlink r:id="rId35" w:history="1">
        <w:r w:rsidRPr="00375927">
          <w:rPr>
            <w:rStyle w:val="Hyperlink"/>
          </w:rPr>
          <w:t>http://www.energy.senate.gov/public/index.cfm/files/serve?File_id=8b0037eb-b801-4fc6-9918-f2c0d5da27a0</w:t>
        </w:r>
      </w:hyperlink>
    </w:p>
    <w:p w:rsidR="00D04D60" w:rsidRDefault="00D04D60" w:rsidP="00B17CAC"/>
    <w:p w:rsidR="00D81F6A" w:rsidRDefault="00D81F6A" w:rsidP="006A3B05"/>
    <w:p w:rsidR="00D81F6A" w:rsidRDefault="00D81F6A" w:rsidP="00D81F6A">
      <w:proofErr w:type="spellStart"/>
      <w:r>
        <w:lastRenderedPageBreak/>
        <w:t>Loulou</w:t>
      </w:r>
      <w:proofErr w:type="spellEnd"/>
      <w:r>
        <w:t>, R., G. Goldstein, et al. (2004)</w:t>
      </w:r>
      <w:r w:rsidR="002456D7">
        <w:t xml:space="preserve">, </w:t>
      </w:r>
      <w:r>
        <w:t>Documentation for the MARKAL Family of Models</w:t>
      </w:r>
      <w:r w:rsidR="002456D7">
        <w:t xml:space="preserve">, </w:t>
      </w:r>
      <w:r>
        <w:t>IEA Energy</w:t>
      </w:r>
    </w:p>
    <w:p w:rsidR="00D81F6A" w:rsidRDefault="00D81F6A" w:rsidP="00D81F6A">
      <w:proofErr w:type="gramStart"/>
      <w:r>
        <w:t>Technology Systems Analysis Programme.</w:t>
      </w:r>
      <w:proofErr w:type="gramEnd"/>
      <w:r>
        <w:t xml:space="preserve"> Paris.</w:t>
      </w:r>
    </w:p>
    <w:p w:rsidR="002456D7" w:rsidRDefault="002456D7" w:rsidP="00D81F6A"/>
    <w:p w:rsidR="00D81F6A" w:rsidRDefault="00D81F6A" w:rsidP="00D81F6A">
      <w:r>
        <w:t>EPA</w:t>
      </w:r>
      <w:r w:rsidR="002456D7">
        <w:t xml:space="preserve"> (2006), </w:t>
      </w:r>
      <w:r>
        <w:t>MARKAL scenario analysis of technology options for the electric sector: The impact on air</w:t>
      </w:r>
    </w:p>
    <w:p w:rsidR="00D81F6A" w:rsidRDefault="00D81F6A" w:rsidP="00D81F6A">
      <w:proofErr w:type="gramStart"/>
      <w:r>
        <w:t>quality</w:t>
      </w:r>
      <w:proofErr w:type="gramEnd"/>
      <w:r>
        <w:t>, U.S. Environmental Protection Agency, Washington, DC, EPA/600/R-06/114, available at:</w:t>
      </w:r>
    </w:p>
    <w:p w:rsidR="00D81F6A" w:rsidRDefault="00D81F6A" w:rsidP="00D81F6A">
      <w:r>
        <w:t>http://www.epa.gov/nrmrl/pubs/600r06114/600r06114.pdf (last access: March 2011), 2006.</w:t>
      </w:r>
    </w:p>
    <w:p w:rsidR="002456D7" w:rsidRDefault="002456D7" w:rsidP="00D81F6A"/>
    <w:p w:rsidR="00D81F6A" w:rsidRDefault="00D81F6A" w:rsidP="00D81F6A">
      <w:r>
        <w:t xml:space="preserve">Webster, M., A.P. </w:t>
      </w:r>
      <w:proofErr w:type="spellStart"/>
      <w:r>
        <w:t>Sokolov</w:t>
      </w:r>
      <w:proofErr w:type="spellEnd"/>
      <w:r>
        <w:t xml:space="preserve">, J.M. Reilly, C.E. Forest, S. </w:t>
      </w:r>
      <w:proofErr w:type="spellStart"/>
      <w:r>
        <w:t>Paltsev</w:t>
      </w:r>
      <w:proofErr w:type="spellEnd"/>
      <w:r>
        <w:t xml:space="preserve">, A. Schlosser, C. Wang, D. </w:t>
      </w:r>
      <w:proofErr w:type="spellStart"/>
      <w:r>
        <w:t>Kicklighter</w:t>
      </w:r>
      <w:proofErr w:type="spellEnd"/>
      <w:r>
        <w:t xml:space="preserve">, M. </w:t>
      </w:r>
      <w:proofErr w:type="spellStart"/>
      <w:r>
        <w:t>Sarofim</w:t>
      </w:r>
      <w:proofErr w:type="spellEnd"/>
      <w:r>
        <w:t>,</w:t>
      </w:r>
    </w:p>
    <w:p w:rsidR="00D81F6A" w:rsidRDefault="00D81F6A" w:rsidP="00D81F6A">
      <w:proofErr w:type="gramStart"/>
      <w:r>
        <w:t xml:space="preserve">J. </w:t>
      </w:r>
      <w:proofErr w:type="spellStart"/>
      <w:r>
        <w:t>Melillo</w:t>
      </w:r>
      <w:proofErr w:type="spellEnd"/>
      <w:r>
        <w:t xml:space="preserve">, R.G. </w:t>
      </w:r>
      <w:proofErr w:type="spellStart"/>
      <w:r>
        <w:t>Prinn</w:t>
      </w:r>
      <w:proofErr w:type="spellEnd"/>
      <w:r>
        <w:t xml:space="preserve"> and H.D. Jacoby.</w:t>
      </w:r>
      <w:proofErr w:type="gramEnd"/>
      <w:r>
        <w:t xml:space="preserve"> 2009. Analysis of Climate Policy Targets under Uncertainty.</w:t>
      </w:r>
    </w:p>
    <w:p w:rsidR="00D81F6A" w:rsidRDefault="00D81F6A" w:rsidP="00D81F6A">
      <w:r>
        <w:t>MIT Joint Program Report #180, MIT Joint Program on the Science and Policy of Global Climate Change,</w:t>
      </w:r>
    </w:p>
    <w:p w:rsidR="00D81F6A" w:rsidRDefault="00D81F6A" w:rsidP="00D81F6A">
      <w:r>
        <w:t>Cambridge, MA.</w:t>
      </w:r>
    </w:p>
    <w:p w:rsidR="00FE6F9C" w:rsidRDefault="00FE6F9C" w:rsidP="00FE6F9C"/>
    <w:p w:rsidR="00E721BA" w:rsidRDefault="00E721BA" w:rsidP="00FE6F9C"/>
    <w:p w:rsidR="0052521F" w:rsidRDefault="0052521F" w:rsidP="0052521F">
      <w:pPr>
        <w:jc w:val="center"/>
      </w:pPr>
    </w:p>
    <w:p w:rsidR="00AA6760" w:rsidRDefault="00AA6760" w:rsidP="00AA6760">
      <w:pPr>
        <w:jc w:val="center"/>
      </w:pPr>
    </w:p>
    <w:p w:rsidR="00D617ED" w:rsidRDefault="00D617ED" w:rsidP="00D617ED">
      <w:pPr>
        <w:jc w:val="center"/>
      </w:pPr>
    </w:p>
    <w:sectPr w:rsidR="00D617ED" w:rsidSect="00FC73E0">
      <w:footerReference w:type="even" r:id="rId36"/>
      <w:footerReference w:type="default" r:id="rId37"/>
      <w:headerReference w:type="first" r:id="rId38"/>
      <w:type w:val="continuous"/>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C19" w:rsidRDefault="00EE6C19">
      <w:r>
        <w:separator/>
      </w:r>
    </w:p>
  </w:endnote>
  <w:endnote w:type="continuationSeparator" w:id="0">
    <w:p w:rsidR="00EE6C19" w:rsidRDefault="00EE6C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AA" w:rsidRDefault="00BD1D3C">
    <w:pPr>
      <w:pStyle w:val="Footer"/>
      <w:jc w:val="center"/>
    </w:pPr>
    <w:fldSimple w:instr=" PAGE   \* MERGEFORMAT ">
      <w:r w:rsidR="0092017D">
        <w:rPr>
          <w:noProof/>
        </w:rPr>
        <w:t>2</w:t>
      </w:r>
    </w:fldSimple>
  </w:p>
  <w:p w:rsidR="007514AA" w:rsidRDefault="007514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AA" w:rsidRDefault="00BD1D3C">
    <w:pPr>
      <w:pStyle w:val="Footer"/>
      <w:jc w:val="center"/>
    </w:pPr>
    <w:fldSimple w:instr=" PAGE   \* MERGEFORMAT ">
      <w:r w:rsidR="0092017D">
        <w:rPr>
          <w:noProof/>
        </w:rPr>
        <w:t>3</w:t>
      </w:r>
    </w:fldSimple>
  </w:p>
  <w:p w:rsidR="007514AA" w:rsidRDefault="00751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C19" w:rsidRDefault="00EE6C19">
      <w:r>
        <w:separator/>
      </w:r>
    </w:p>
  </w:footnote>
  <w:footnote w:type="continuationSeparator" w:id="0">
    <w:p w:rsidR="00EE6C19" w:rsidRDefault="00EE6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AA" w:rsidRDefault="007514AA" w:rsidP="00DC69F1">
    <w:pPr>
      <w:pStyle w:val="Header"/>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275"/>
    <w:multiLevelType w:val="hybridMultilevel"/>
    <w:tmpl w:val="7916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81E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570A30"/>
    <w:multiLevelType w:val="hybridMultilevel"/>
    <w:tmpl w:val="226E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D7A7B"/>
    <w:multiLevelType w:val="hybridMultilevel"/>
    <w:tmpl w:val="3562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50FFC"/>
    <w:multiLevelType w:val="hybridMultilevel"/>
    <w:tmpl w:val="E958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C625D"/>
    <w:multiLevelType w:val="hybridMultilevel"/>
    <w:tmpl w:val="686C8146"/>
    <w:lvl w:ilvl="0" w:tplc="39A03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567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A21971"/>
    <w:multiLevelType w:val="hybridMultilevel"/>
    <w:tmpl w:val="21A8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A1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5452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066D26"/>
    <w:multiLevelType w:val="hybridMultilevel"/>
    <w:tmpl w:val="3968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B7FAC"/>
    <w:multiLevelType w:val="hybridMultilevel"/>
    <w:tmpl w:val="945E665A"/>
    <w:lvl w:ilvl="0" w:tplc="CB94863A">
      <w:start w:val="1"/>
      <w:numFmt w:val="decimal"/>
      <w:pStyle w:val="References"/>
      <w:lvlText w:val="%1."/>
      <w:lvlJc w:val="left"/>
      <w:pPr>
        <w:tabs>
          <w:tab w:val="num" w:pos="360"/>
        </w:tabs>
        <w:ind w:left="360" w:hanging="360"/>
      </w:pPr>
      <w:rPr>
        <w:rFonts w:hint="default"/>
      </w:rPr>
    </w:lvl>
    <w:lvl w:ilvl="1" w:tplc="D5942AF0">
      <w:start w:val="1"/>
      <w:numFmt w:val="lowerLetter"/>
      <w:lvlText w:val="%2."/>
      <w:lvlJc w:val="left"/>
      <w:pPr>
        <w:tabs>
          <w:tab w:val="num" w:pos="1620"/>
        </w:tabs>
        <w:ind w:left="1620" w:hanging="360"/>
      </w:pPr>
    </w:lvl>
    <w:lvl w:ilvl="2" w:tplc="A5DA3C54" w:tentative="1">
      <w:start w:val="1"/>
      <w:numFmt w:val="lowerRoman"/>
      <w:lvlText w:val="%3."/>
      <w:lvlJc w:val="right"/>
      <w:pPr>
        <w:tabs>
          <w:tab w:val="num" w:pos="2340"/>
        </w:tabs>
        <w:ind w:left="2340" w:hanging="180"/>
      </w:pPr>
    </w:lvl>
    <w:lvl w:ilvl="3" w:tplc="DBD64B3C" w:tentative="1">
      <w:start w:val="1"/>
      <w:numFmt w:val="decimal"/>
      <w:lvlText w:val="%4."/>
      <w:lvlJc w:val="left"/>
      <w:pPr>
        <w:tabs>
          <w:tab w:val="num" w:pos="3060"/>
        </w:tabs>
        <w:ind w:left="3060" w:hanging="360"/>
      </w:pPr>
    </w:lvl>
    <w:lvl w:ilvl="4" w:tplc="D528DA9C" w:tentative="1">
      <w:start w:val="1"/>
      <w:numFmt w:val="lowerLetter"/>
      <w:lvlText w:val="%5."/>
      <w:lvlJc w:val="left"/>
      <w:pPr>
        <w:tabs>
          <w:tab w:val="num" w:pos="3780"/>
        </w:tabs>
        <w:ind w:left="3780" w:hanging="360"/>
      </w:pPr>
    </w:lvl>
    <w:lvl w:ilvl="5" w:tplc="4C92FCCE" w:tentative="1">
      <w:start w:val="1"/>
      <w:numFmt w:val="lowerRoman"/>
      <w:lvlText w:val="%6."/>
      <w:lvlJc w:val="right"/>
      <w:pPr>
        <w:tabs>
          <w:tab w:val="num" w:pos="4500"/>
        </w:tabs>
        <w:ind w:left="4500" w:hanging="180"/>
      </w:pPr>
    </w:lvl>
    <w:lvl w:ilvl="6" w:tplc="20AAA2B0" w:tentative="1">
      <w:start w:val="1"/>
      <w:numFmt w:val="decimal"/>
      <w:lvlText w:val="%7."/>
      <w:lvlJc w:val="left"/>
      <w:pPr>
        <w:tabs>
          <w:tab w:val="num" w:pos="5220"/>
        </w:tabs>
        <w:ind w:left="5220" w:hanging="360"/>
      </w:pPr>
    </w:lvl>
    <w:lvl w:ilvl="7" w:tplc="AF7CDF46" w:tentative="1">
      <w:start w:val="1"/>
      <w:numFmt w:val="lowerLetter"/>
      <w:lvlText w:val="%8."/>
      <w:lvlJc w:val="left"/>
      <w:pPr>
        <w:tabs>
          <w:tab w:val="num" w:pos="5940"/>
        </w:tabs>
        <w:ind w:left="5940" w:hanging="360"/>
      </w:pPr>
    </w:lvl>
    <w:lvl w:ilvl="8" w:tplc="052CDFC4" w:tentative="1">
      <w:start w:val="1"/>
      <w:numFmt w:val="lowerRoman"/>
      <w:lvlText w:val="%9."/>
      <w:lvlJc w:val="right"/>
      <w:pPr>
        <w:tabs>
          <w:tab w:val="num" w:pos="6660"/>
        </w:tabs>
        <w:ind w:left="6660" w:hanging="180"/>
      </w:pPr>
    </w:lvl>
  </w:abstractNum>
  <w:abstractNum w:abstractNumId="12">
    <w:nsid w:val="760B4745"/>
    <w:multiLevelType w:val="hybridMultilevel"/>
    <w:tmpl w:val="AFE676E2"/>
    <w:lvl w:ilvl="0" w:tplc="04090001">
      <w:start w:val="1"/>
      <w:numFmt w:val="bullet"/>
      <w:lvlText w:val=""/>
      <w:lvlJc w:val="left"/>
      <w:pPr>
        <w:ind w:left="1122" w:hanging="360"/>
      </w:pPr>
      <w:rPr>
        <w:rFonts w:ascii="Symbol" w:hAnsi="Symbol" w:hint="default"/>
      </w:rPr>
    </w:lvl>
    <w:lvl w:ilvl="1" w:tplc="04090003">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3">
    <w:nsid w:val="7E9A2748"/>
    <w:multiLevelType w:val="hybridMultilevel"/>
    <w:tmpl w:val="782E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3"/>
  </w:num>
  <w:num w:numId="5">
    <w:abstractNumId w:val="4"/>
  </w:num>
  <w:num w:numId="6">
    <w:abstractNumId w:val="0"/>
  </w:num>
  <w:num w:numId="7">
    <w:abstractNumId w:val="3"/>
  </w:num>
  <w:num w:numId="8">
    <w:abstractNumId w:val="10"/>
  </w:num>
  <w:num w:numId="9">
    <w:abstractNumId w:val="2"/>
  </w:num>
  <w:num w:numId="10">
    <w:abstractNumId w:val="9"/>
  </w:num>
  <w:num w:numId="11">
    <w:abstractNumId w:val="8"/>
  </w:num>
  <w:num w:numId="12">
    <w:abstractNumId w:val="12"/>
  </w:num>
  <w:num w:numId="13">
    <w:abstractNumId w:val="6"/>
  </w:num>
  <w:num w:numId="14">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GB" w:vendorID="64" w:dllVersion="131078" w:nlCheck="1" w:checkStyle="0"/>
  <w:activeWritingStyle w:appName="MSWord" w:lang="en-US" w:vendorID="64" w:dllVersion="131078" w:nlCheck="1" w:checkStyle="1"/>
  <w:proofState w:spelling="clean" w:grammar="clean"/>
  <w:stylePaneFormatFilter w:val="3F01"/>
  <w:doNotTrackMove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23DE"/>
    <w:rsid w:val="00005DA8"/>
    <w:rsid w:val="0000779E"/>
    <w:rsid w:val="00007DBE"/>
    <w:rsid w:val="000117AE"/>
    <w:rsid w:val="00011C10"/>
    <w:rsid w:val="0001409F"/>
    <w:rsid w:val="000161D9"/>
    <w:rsid w:val="0001706A"/>
    <w:rsid w:val="0003048C"/>
    <w:rsid w:val="00032B80"/>
    <w:rsid w:val="000338FC"/>
    <w:rsid w:val="00034D51"/>
    <w:rsid w:val="000362BF"/>
    <w:rsid w:val="000401B7"/>
    <w:rsid w:val="00041680"/>
    <w:rsid w:val="00042B67"/>
    <w:rsid w:val="00044DBF"/>
    <w:rsid w:val="000456A6"/>
    <w:rsid w:val="00045B0E"/>
    <w:rsid w:val="0004694D"/>
    <w:rsid w:val="00047097"/>
    <w:rsid w:val="00047E83"/>
    <w:rsid w:val="00050106"/>
    <w:rsid w:val="00051480"/>
    <w:rsid w:val="000518BD"/>
    <w:rsid w:val="00056583"/>
    <w:rsid w:val="00056637"/>
    <w:rsid w:val="000570EF"/>
    <w:rsid w:val="0005788A"/>
    <w:rsid w:val="00063702"/>
    <w:rsid w:val="00071967"/>
    <w:rsid w:val="00071B48"/>
    <w:rsid w:val="00076EDA"/>
    <w:rsid w:val="00081383"/>
    <w:rsid w:val="00081758"/>
    <w:rsid w:val="00086C5E"/>
    <w:rsid w:val="00087797"/>
    <w:rsid w:val="0009090A"/>
    <w:rsid w:val="00090B36"/>
    <w:rsid w:val="00091BF9"/>
    <w:rsid w:val="00094545"/>
    <w:rsid w:val="00094C94"/>
    <w:rsid w:val="000A1441"/>
    <w:rsid w:val="000A5EDD"/>
    <w:rsid w:val="000A6EFE"/>
    <w:rsid w:val="000A7CF0"/>
    <w:rsid w:val="000B3A66"/>
    <w:rsid w:val="000B5C8F"/>
    <w:rsid w:val="000C1A80"/>
    <w:rsid w:val="000C1CB2"/>
    <w:rsid w:val="000C1D68"/>
    <w:rsid w:val="000C1DE8"/>
    <w:rsid w:val="000C2667"/>
    <w:rsid w:val="000C2F3C"/>
    <w:rsid w:val="000C57B9"/>
    <w:rsid w:val="000D0F02"/>
    <w:rsid w:val="000D0FB9"/>
    <w:rsid w:val="000D0FE2"/>
    <w:rsid w:val="000D157B"/>
    <w:rsid w:val="000D2C80"/>
    <w:rsid w:val="000D70E6"/>
    <w:rsid w:val="000E0196"/>
    <w:rsid w:val="000E02F2"/>
    <w:rsid w:val="000E2010"/>
    <w:rsid w:val="000E44A4"/>
    <w:rsid w:val="000E4B70"/>
    <w:rsid w:val="000E6091"/>
    <w:rsid w:val="000E6CC1"/>
    <w:rsid w:val="000E71B1"/>
    <w:rsid w:val="000E7B43"/>
    <w:rsid w:val="000F095F"/>
    <w:rsid w:val="000F329D"/>
    <w:rsid w:val="000F7054"/>
    <w:rsid w:val="000F7429"/>
    <w:rsid w:val="00102428"/>
    <w:rsid w:val="00103952"/>
    <w:rsid w:val="0010660F"/>
    <w:rsid w:val="00106E39"/>
    <w:rsid w:val="001079E9"/>
    <w:rsid w:val="00110E3A"/>
    <w:rsid w:val="00111A9F"/>
    <w:rsid w:val="001142C8"/>
    <w:rsid w:val="00125675"/>
    <w:rsid w:val="00131546"/>
    <w:rsid w:val="00132035"/>
    <w:rsid w:val="001322E0"/>
    <w:rsid w:val="00132336"/>
    <w:rsid w:val="001324BC"/>
    <w:rsid w:val="001364FA"/>
    <w:rsid w:val="00141918"/>
    <w:rsid w:val="00144A8C"/>
    <w:rsid w:val="00146F82"/>
    <w:rsid w:val="001510A6"/>
    <w:rsid w:val="00152313"/>
    <w:rsid w:val="00154416"/>
    <w:rsid w:val="00154D0C"/>
    <w:rsid w:val="001550CF"/>
    <w:rsid w:val="00155632"/>
    <w:rsid w:val="00161917"/>
    <w:rsid w:val="00163CA4"/>
    <w:rsid w:val="001673C5"/>
    <w:rsid w:val="001703CA"/>
    <w:rsid w:val="0017042C"/>
    <w:rsid w:val="00173C18"/>
    <w:rsid w:val="00176E0A"/>
    <w:rsid w:val="00181ADD"/>
    <w:rsid w:val="00182719"/>
    <w:rsid w:val="00182CB5"/>
    <w:rsid w:val="00185DE2"/>
    <w:rsid w:val="001867D2"/>
    <w:rsid w:val="00190DA0"/>
    <w:rsid w:val="00192DEF"/>
    <w:rsid w:val="001A1AEA"/>
    <w:rsid w:val="001A23DF"/>
    <w:rsid w:val="001A2F45"/>
    <w:rsid w:val="001A42A9"/>
    <w:rsid w:val="001B081B"/>
    <w:rsid w:val="001B0FDB"/>
    <w:rsid w:val="001B2FCA"/>
    <w:rsid w:val="001B6941"/>
    <w:rsid w:val="001B7CD8"/>
    <w:rsid w:val="001C014E"/>
    <w:rsid w:val="001C0A53"/>
    <w:rsid w:val="001C4DA6"/>
    <w:rsid w:val="001C69DC"/>
    <w:rsid w:val="001D5DDE"/>
    <w:rsid w:val="001E0C04"/>
    <w:rsid w:val="001E27E1"/>
    <w:rsid w:val="001E6D05"/>
    <w:rsid w:val="001F2A43"/>
    <w:rsid w:val="001F596C"/>
    <w:rsid w:val="001F5E09"/>
    <w:rsid w:val="001F6329"/>
    <w:rsid w:val="002017C0"/>
    <w:rsid w:val="002037E3"/>
    <w:rsid w:val="0020656E"/>
    <w:rsid w:val="00211215"/>
    <w:rsid w:val="002113DF"/>
    <w:rsid w:val="002123BA"/>
    <w:rsid w:val="00213138"/>
    <w:rsid w:val="00213383"/>
    <w:rsid w:val="00215381"/>
    <w:rsid w:val="0021756B"/>
    <w:rsid w:val="0022071F"/>
    <w:rsid w:val="0022114F"/>
    <w:rsid w:val="00225323"/>
    <w:rsid w:val="002263B3"/>
    <w:rsid w:val="00226850"/>
    <w:rsid w:val="00227DEB"/>
    <w:rsid w:val="00232ACF"/>
    <w:rsid w:val="0023327B"/>
    <w:rsid w:val="00233684"/>
    <w:rsid w:val="00236804"/>
    <w:rsid w:val="002426A3"/>
    <w:rsid w:val="00242E0F"/>
    <w:rsid w:val="00243B89"/>
    <w:rsid w:val="00243DE6"/>
    <w:rsid w:val="0024495C"/>
    <w:rsid w:val="002456D7"/>
    <w:rsid w:val="0025166B"/>
    <w:rsid w:val="0025436A"/>
    <w:rsid w:val="00254E77"/>
    <w:rsid w:val="00255C61"/>
    <w:rsid w:val="00256620"/>
    <w:rsid w:val="00256BA4"/>
    <w:rsid w:val="002607AF"/>
    <w:rsid w:val="00260A9C"/>
    <w:rsid w:val="002611FE"/>
    <w:rsid w:val="00261C6F"/>
    <w:rsid w:val="00262017"/>
    <w:rsid w:val="00263B82"/>
    <w:rsid w:val="0026670A"/>
    <w:rsid w:val="00267D50"/>
    <w:rsid w:val="00273098"/>
    <w:rsid w:val="002734EB"/>
    <w:rsid w:val="00274220"/>
    <w:rsid w:val="002771C4"/>
    <w:rsid w:val="002812AB"/>
    <w:rsid w:val="00281400"/>
    <w:rsid w:val="002842DE"/>
    <w:rsid w:val="00285A80"/>
    <w:rsid w:val="00286432"/>
    <w:rsid w:val="002900EB"/>
    <w:rsid w:val="002921E9"/>
    <w:rsid w:val="0029706D"/>
    <w:rsid w:val="002A3792"/>
    <w:rsid w:val="002A3990"/>
    <w:rsid w:val="002A537B"/>
    <w:rsid w:val="002A6B9D"/>
    <w:rsid w:val="002A6DC9"/>
    <w:rsid w:val="002B28D9"/>
    <w:rsid w:val="002B69DF"/>
    <w:rsid w:val="002B7F62"/>
    <w:rsid w:val="002C2C52"/>
    <w:rsid w:val="002C33A7"/>
    <w:rsid w:val="002C33CA"/>
    <w:rsid w:val="002C413E"/>
    <w:rsid w:val="002C4285"/>
    <w:rsid w:val="002C4AB6"/>
    <w:rsid w:val="002C4C89"/>
    <w:rsid w:val="002D2C90"/>
    <w:rsid w:val="002D2E79"/>
    <w:rsid w:val="002D3FD5"/>
    <w:rsid w:val="002D580B"/>
    <w:rsid w:val="002D654C"/>
    <w:rsid w:val="002D67A3"/>
    <w:rsid w:val="002E06B6"/>
    <w:rsid w:val="002E19B7"/>
    <w:rsid w:val="002E4393"/>
    <w:rsid w:val="002E4A58"/>
    <w:rsid w:val="002F2548"/>
    <w:rsid w:val="002F25EE"/>
    <w:rsid w:val="002F31D0"/>
    <w:rsid w:val="002F75CA"/>
    <w:rsid w:val="00301472"/>
    <w:rsid w:val="00303A2A"/>
    <w:rsid w:val="00304F09"/>
    <w:rsid w:val="0030514F"/>
    <w:rsid w:val="00305F10"/>
    <w:rsid w:val="00306E59"/>
    <w:rsid w:val="00313434"/>
    <w:rsid w:val="003206F1"/>
    <w:rsid w:val="003217EB"/>
    <w:rsid w:val="00321865"/>
    <w:rsid w:val="00330D72"/>
    <w:rsid w:val="0033251D"/>
    <w:rsid w:val="00334C7D"/>
    <w:rsid w:val="00341F48"/>
    <w:rsid w:val="00344075"/>
    <w:rsid w:val="00345236"/>
    <w:rsid w:val="0034649B"/>
    <w:rsid w:val="00351864"/>
    <w:rsid w:val="00353C3F"/>
    <w:rsid w:val="003573E3"/>
    <w:rsid w:val="003644B9"/>
    <w:rsid w:val="00364EFC"/>
    <w:rsid w:val="00370C62"/>
    <w:rsid w:val="0037107E"/>
    <w:rsid w:val="0037246F"/>
    <w:rsid w:val="003738AA"/>
    <w:rsid w:val="00374D54"/>
    <w:rsid w:val="003773F4"/>
    <w:rsid w:val="003801CB"/>
    <w:rsid w:val="00386A91"/>
    <w:rsid w:val="00390521"/>
    <w:rsid w:val="003917DE"/>
    <w:rsid w:val="003931F9"/>
    <w:rsid w:val="00394E12"/>
    <w:rsid w:val="00395B1E"/>
    <w:rsid w:val="003A1B8E"/>
    <w:rsid w:val="003A3A5A"/>
    <w:rsid w:val="003B640B"/>
    <w:rsid w:val="003C200A"/>
    <w:rsid w:val="003C2638"/>
    <w:rsid w:val="003C35AB"/>
    <w:rsid w:val="003C5077"/>
    <w:rsid w:val="003C58C0"/>
    <w:rsid w:val="003C648D"/>
    <w:rsid w:val="003C736B"/>
    <w:rsid w:val="003C74FE"/>
    <w:rsid w:val="003D556F"/>
    <w:rsid w:val="003E0210"/>
    <w:rsid w:val="003E0BF1"/>
    <w:rsid w:val="003E3ED1"/>
    <w:rsid w:val="003E6CF0"/>
    <w:rsid w:val="003E7E2C"/>
    <w:rsid w:val="003F038C"/>
    <w:rsid w:val="003F1731"/>
    <w:rsid w:val="003F2BA1"/>
    <w:rsid w:val="003F427B"/>
    <w:rsid w:val="003F4761"/>
    <w:rsid w:val="003F578D"/>
    <w:rsid w:val="003F6C1F"/>
    <w:rsid w:val="00405C42"/>
    <w:rsid w:val="0041062E"/>
    <w:rsid w:val="00411972"/>
    <w:rsid w:val="00411C5A"/>
    <w:rsid w:val="0041425E"/>
    <w:rsid w:val="004155E9"/>
    <w:rsid w:val="0041564B"/>
    <w:rsid w:val="00417FE6"/>
    <w:rsid w:val="00420D35"/>
    <w:rsid w:val="004210B6"/>
    <w:rsid w:val="00421161"/>
    <w:rsid w:val="00421FBE"/>
    <w:rsid w:val="00425092"/>
    <w:rsid w:val="0042560B"/>
    <w:rsid w:val="0042717D"/>
    <w:rsid w:val="00430115"/>
    <w:rsid w:val="0043074B"/>
    <w:rsid w:val="00441198"/>
    <w:rsid w:val="00441586"/>
    <w:rsid w:val="00443AF9"/>
    <w:rsid w:val="00445058"/>
    <w:rsid w:val="00445895"/>
    <w:rsid w:val="00452757"/>
    <w:rsid w:val="0045430A"/>
    <w:rsid w:val="0045466B"/>
    <w:rsid w:val="004604E1"/>
    <w:rsid w:val="00460F56"/>
    <w:rsid w:val="00464D89"/>
    <w:rsid w:val="00465A93"/>
    <w:rsid w:val="004738B0"/>
    <w:rsid w:val="00474B53"/>
    <w:rsid w:val="00477B5D"/>
    <w:rsid w:val="00484556"/>
    <w:rsid w:val="00485C1B"/>
    <w:rsid w:val="00485EA8"/>
    <w:rsid w:val="00486682"/>
    <w:rsid w:val="004878C6"/>
    <w:rsid w:val="00490D4E"/>
    <w:rsid w:val="004917E1"/>
    <w:rsid w:val="00491943"/>
    <w:rsid w:val="00496ADB"/>
    <w:rsid w:val="004A28C2"/>
    <w:rsid w:val="004A5BBE"/>
    <w:rsid w:val="004A5DD8"/>
    <w:rsid w:val="004A62FB"/>
    <w:rsid w:val="004A727D"/>
    <w:rsid w:val="004A7ADE"/>
    <w:rsid w:val="004B3A7D"/>
    <w:rsid w:val="004B65D7"/>
    <w:rsid w:val="004B665A"/>
    <w:rsid w:val="004B6EE1"/>
    <w:rsid w:val="004B7D1D"/>
    <w:rsid w:val="004C048E"/>
    <w:rsid w:val="004C0D11"/>
    <w:rsid w:val="004C1875"/>
    <w:rsid w:val="004C2D26"/>
    <w:rsid w:val="004C2E12"/>
    <w:rsid w:val="004D0D8C"/>
    <w:rsid w:val="004D2AF4"/>
    <w:rsid w:val="004D31FE"/>
    <w:rsid w:val="004D4424"/>
    <w:rsid w:val="004D787E"/>
    <w:rsid w:val="004E065F"/>
    <w:rsid w:val="004E1AE6"/>
    <w:rsid w:val="004E2F2A"/>
    <w:rsid w:val="004E3C5B"/>
    <w:rsid w:val="004E4837"/>
    <w:rsid w:val="004E4A9B"/>
    <w:rsid w:val="004E6F04"/>
    <w:rsid w:val="004E7D31"/>
    <w:rsid w:val="004F1F02"/>
    <w:rsid w:val="004F2567"/>
    <w:rsid w:val="004F2FC6"/>
    <w:rsid w:val="004F4F81"/>
    <w:rsid w:val="00500050"/>
    <w:rsid w:val="0050039B"/>
    <w:rsid w:val="00503292"/>
    <w:rsid w:val="00503D42"/>
    <w:rsid w:val="0050512E"/>
    <w:rsid w:val="00514F02"/>
    <w:rsid w:val="00515620"/>
    <w:rsid w:val="00515ED6"/>
    <w:rsid w:val="00516343"/>
    <w:rsid w:val="005250F3"/>
    <w:rsid w:val="0052521F"/>
    <w:rsid w:val="005263F9"/>
    <w:rsid w:val="00526B31"/>
    <w:rsid w:val="00527156"/>
    <w:rsid w:val="0052733C"/>
    <w:rsid w:val="00532202"/>
    <w:rsid w:val="00534234"/>
    <w:rsid w:val="0053730C"/>
    <w:rsid w:val="00542C6B"/>
    <w:rsid w:val="00544BFC"/>
    <w:rsid w:val="00545623"/>
    <w:rsid w:val="00546BFD"/>
    <w:rsid w:val="00547C2A"/>
    <w:rsid w:val="00551EBB"/>
    <w:rsid w:val="005551C3"/>
    <w:rsid w:val="0056430D"/>
    <w:rsid w:val="00564D56"/>
    <w:rsid w:val="005657DC"/>
    <w:rsid w:val="005711B1"/>
    <w:rsid w:val="00583499"/>
    <w:rsid w:val="00583873"/>
    <w:rsid w:val="005841FF"/>
    <w:rsid w:val="005865FA"/>
    <w:rsid w:val="00586F13"/>
    <w:rsid w:val="005917DB"/>
    <w:rsid w:val="005954E3"/>
    <w:rsid w:val="00595C61"/>
    <w:rsid w:val="0059638E"/>
    <w:rsid w:val="005A21B1"/>
    <w:rsid w:val="005A4414"/>
    <w:rsid w:val="005A5112"/>
    <w:rsid w:val="005A5F38"/>
    <w:rsid w:val="005A6849"/>
    <w:rsid w:val="005B3AC8"/>
    <w:rsid w:val="005B3BD4"/>
    <w:rsid w:val="005B5F74"/>
    <w:rsid w:val="005C24A6"/>
    <w:rsid w:val="005C2C13"/>
    <w:rsid w:val="005C3B79"/>
    <w:rsid w:val="005C3EEC"/>
    <w:rsid w:val="005C5042"/>
    <w:rsid w:val="005C543B"/>
    <w:rsid w:val="005D32CC"/>
    <w:rsid w:val="005E287E"/>
    <w:rsid w:val="005E4211"/>
    <w:rsid w:val="005F0FE5"/>
    <w:rsid w:val="005F22BF"/>
    <w:rsid w:val="005F267E"/>
    <w:rsid w:val="005F31C9"/>
    <w:rsid w:val="00600011"/>
    <w:rsid w:val="00601CAF"/>
    <w:rsid w:val="00602C0F"/>
    <w:rsid w:val="00603953"/>
    <w:rsid w:val="006043BF"/>
    <w:rsid w:val="006068F3"/>
    <w:rsid w:val="00607801"/>
    <w:rsid w:val="00613DC3"/>
    <w:rsid w:val="00616271"/>
    <w:rsid w:val="00616955"/>
    <w:rsid w:val="006223CB"/>
    <w:rsid w:val="00622E05"/>
    <w:rsid w:val="00627278"/>
    <w:rsid w:val="006275A0"/>
    <w:rsid w:val="00630658"/>
    <w:rsid w:val="00630DD5"/>
    <w:rsid w:val="00633249"/>
    <w:rsid w:val="00637245"/>
    <w:rsid w:val="00637467"/>
    <w:rsid w:val="00642C3B"/>
    <w:rsid w:val="006461E5"/>
    <w:rsid w:val="00650AC6"/>
    <w:rsid w:val="00651F4B"/>
    <w:rsid w:val="00653A00"/>
    <w:rsid w:val="0065420D"/>
    <w:rsid w:val="0065522E"/>
    <w:rsid w:val="00656CAE"/>
    <w:rsid w:val="00661884"/>
    <w:rsid w:val="00663710"/>
    <w:rsid w:val="00665CA2"/>
    <w:rsid w:val="00667A07"/>
    <w:rsid w:val="006705D7"/>
    <w:rsid w:val="00673946"/>
    <w:rsid w:val="00673CFC"/>
    <w:rsid w:val="0067484E"/>
    <w:rsid w:val="0067565A"/>
    <w:rsid w:val="00680A92"/>
    <w:rsid w:val="006814F6"/>
    <w:rsid w:val="006821F4"/>
    <w:rsid w:val="0068302B"/>
    <w:rsid w:val="0068324F"/>
    <w:rsid w:val="00685411"/>
    <w:rsid w:val="0068592A"/>
    <w:rsid w:val="00694A5D"/>
    <w:rsid w:val="006A33E0"/>
    <w:rsid w:val="006A3B05"/>
    <w:rsid w:val="006A6652"/>
    <w:rsid w:val="006B0FA7"/>
    <w:rsid w:val="006B2B63"/>
    <w:rsid w:val="006B4E68"/>
    <w:rsid w:val="006B6A28"/>
    <w:rsid w:val="006B7207"/>
    <w:rsid w:val="006C4443"/>
    <w:rsid w:val="006C44E7"/>
    <w:rsid w:val="006C50EF"/>
    <w:rsid w:val="006C72AE"/>
    <w:rsid w:val="006D0D6F"/>
    <w:rsid w:val="006D1A66"/>
    <w:rsid w:val="006D1DE0"/>
    <w:rsid w:val="006D26F3"/>
    <w:rsid w:val="006D392D"/>
    <w:rsid w:val="006D3AB3"/>
    <w:rsid w:val="006D456E"/>
    <w:rsid w:val="006D6565"/>
    <w:rsid w:val="006E271A"/>
    <w:rsid w:val="006E2B20"/>
    <w:rsid w:val="006F019F"/>
    <w:rsid w:val="006F3089"/>
    <w:rsid w:val="006F33FD"/>
    <w:rsid w:val="006F39ED"/>
    <w:rsid w:val="006F4316"/>
    <w:rsid w:val="006F43FF"/>
    <w:rsid w:val="006F6A2B"/>
    <w:rsid w:val="006F6B48"/>
    <w:rsid w:val="0070038F"/>
    <w:rsid w:val="007004EC"/>
    <w:rsid w:val="00701962"/>
    <w:rsid w:val="007042C8"/>
    <w:rsid w:val="007065F8"/>
    <w:rsid w:val="00706E4A"/>
    <w:rsid w:val="00714C5D"/>
    <w:rsid w:val="00721056"/>
    <w:rsid w:val="00723997"/>
    <w:rsid w:val="00726352"/>
    <w:rsid w:val="00726C7C"/>
    <w:rsid w:val="007279C7"/>
    <w:rsid w:val="00732A99"/>
    <w:rsid w:val="00742220"/>
    <w:rsid w:val="007430B6"/>
    <w:rsid w:val="00745F81"/>
    <w:rsid w:val="0075049D"/>
    <w:rsid w:val="007514AA"/>
    <w:rsid w:val="007538BE"/>
    <w:rsid w:val="00755D2C"/>
    <w:rsid w:val="00757011"/>
    <w:rsid w:val="007577F7"/>
    <w:rsid w:val="00757DCD"/>
    <w:rsid w:val="00761B28"/>
    <w:rsid w:val="00763305"/>
    <w:rsid w:val="007661D4"/>
    <w:rsid w:val="00767B14"/>
    <w:rsid w:val="007704A0"/>
    <w:rsid w:val="0077168A"/>
    <w:rsid w:val="0077348E"/>
    <w:rsid w:val="00773618"/>
    <w:rsid w:val="00775F12"/>
    <w:rsid w:val="00777279"/>
    <w:rsid w:val="00777FA8"/>
    <w:rsid w:val="007811C1"/>
    <w:rsid w:val="00781478"/>
    <w:rsid w:val="00781B08"/>
    <w:rsid w:val="00786DA3"/>
    <w:rsid w:val="007876AD"/>
    <w:rsid w:val="00787CF9"/>
    <w:rsid w:val="00790F0D"/>
    <w:rsid w:val="00791A3B"/>
    <w:rsid w:val="00793390"/>
    <w:rsid w:val="00796419"/>
    <w:rsid w:val="00797EE3"/>
    <w:rsid w:val="007A1DB9"/>
    <w:rsid w:val="007A4B7D"/>
    <w:rsid w:val="007B231B"/>
    <w:rsid w:val="007B27B3"/>
    <w:rsid w:val="007B3382"/>
    <w:rsid w:val="007C380C"/>
    <w:rsid w:val="007D0FC4"/>
    <w:rsid w:val="007D155F"/>
    <w:rsid w:val="007D15DA"/>
    <w:rsid w:val="007D32DC"/>
    <w:rsid w:val="007D4C27"/>
    <w:rsid w:val="007E2900"/>
    <w:rsid w:val="007E5387"/>
    <w:rsid w:val="007F18D9"/>
    <w:rsid w:val="007F4E19"/>
    <w:rsid w:val="00801178"/>
    <w:rsid w:val="00801B7B"/>
    <w:rsid w:val="0080503F"/>
    <w:rsid w:val="00805B4D"/>
    <w:rsid w:val="008061A3"/>
    <w:rsid w:val="00807244"/>
    <w:rsid w:val="0081169A"/>
    <w:rsid w:val="00814276"/>
    <w:rsid w:val="008165C6"/>
    <w:rsid w:val="00816973"/>
    <w:rsid w:val="00817EA6"/>
    <w:rsid w:val="00820F00"/>
    <w:rsid w:val="00821379"/>
    <w:rsid w:val="0082287B"/>
    <w:rsid w:val="008242A5"/>
    <w:rsid w:val="0082454C"/>
    <w:rsid w:val="008249E4"/>
    <w:rsid w:val="00825FCA"/>
    <w:rsid w:val="00827ABF"/>
    <w:rsid w:val="008336CD"/>
    <w:rsid w:val="008351CA"/>
    <w:rsid w:val="008406E8"/>
    <w:rsid w:val="00840C81"/>
    <w:rsid w:val="0084199B"/>
    <w:rsid w:val="00841F5C"/>
    <w:rsid w:val="008451E3"/>
    <w:rsid w:val="00845C27"/>
    <w:rsid w:val="00846365"/>
    <w:rsid w:val="008512A4"/>
    <w:rsid w:val="00852185"/>
    <w:rsid w:val="00855939"/>
    <w:rsid w:val="00862427"/>
    <w:rsid w:val="00863D3E"/>
    <w:rsid w:val="0086591D"/>
    <w:rsid w:val="008660AC"/>
    <w:rsid w:val="0086745A"/>
    <w:rsid w:val="008713CF"/>
    <w:rsid w:val="0087625A"/>
    <w:rsid w:val="0087667B"/>
    <w:rsid w:val="00877084"/>
    <w:rsid w:val="00884196"/>
    <w:rsid w:val="00885271"/>
    <w:rsid w:val="00890207"/>
    <w:rsid w:val="008903FC"/>
    <w:rsid w:val="00891797"/>
    <w:rsid w:val="00893B8C"/>
    <w:rsid w:val="00894637"/>
    <w:rsid w:val="00895891"/>
    <w:rsid w:val="00897BB8"/>
    <w:rsid w:val="00897C78"/>
    <w:rsid w:val="008A19A3"/>
    <w:rsid w:val="008A1B2F"/>
    <w:rsid w:val="008A52F4"/>
    <w:rsid w:val="008B115D"/>
    <w:rsid w:val="008B3EAF"/>
    <w:rsid w:val="008B5455"/>
    <w:rsid w:val="008B76A0"/>
    <w:rsid w:val="008C38B1"/>
    <w:rsid w:val="008C4805"/>
    <w:rsid w:val="008C4BA3"/>
    <w:rsid w:val="008C4F59"/>
    <w:rsid w:val="008C7004"/>
    <w:rsid w:val="008D196D"/>
    <w:rsid w:val="008E3EFF"/>
    <w:rsid w:val="008E5977"/>
    <w:rsid w:val="008E5D6C"/>
    <w:rsid w:val="008E5D9A"/>
    <w:rsid w:val="008E62F2"/>
    <w:rsid w:val="008E6BD8"/>
    <w:rsid w:val="008F0F72"/>
    <w:rsid w:val="008F5420"/>
    <w:rsid w:val="008F5DEA"/>
    <w:rsid w:val="009004B6"/>
    <w:rsid w:val="00905E85"/>
    <w:rsid w:val="009067FD"/>
    <w:rsid w:val="00907BE8"/>
    <w:rsid w:val="00910BE0"/>
    <w:rsid w:val="00912828"/>
    <w:rsid w:val="00913134"/>
    <w:rsid w:val="009153A8"/>
    <w:rsid w:val="009154D2"/>
    <w:rsid w:val="00916595"/>
    <w:rsid w:val="0092017D"/>
    <w:rsid w:val="00921ACC"/>
    <w:rsid w:val="009220B2"/>
    <w:rsid w:val="009262FA"/>
    <w:rsid w:val="00933B65"/>
    <w:rsid w:val="00934269"/>
    <w:rsid w:val="009354BC"/>
    <w:rsid w:val="00937B86"/>
    <w:rsid w:val="009462FA"/>
    <w:rsid w:val="009541FA"/>
    <w:rsid w:val="00955324"/>
    <w:rsid w:val="00960D3D"/>
    <w:rsid w:val="00963CE3"/>
    <w:rsid w:val="0096462D"/>
    <w:rsid w:val="00967F53"/>
    <w:rsid w:val="009700D2"/>
    <w:rsid w:val="00970344"/>
    <w:rsid w:val="009719F6"/>
    <w:rsid w:val="00971EDC"/>
    <w:rsid w:val="00972544"/>
    <w:rsid w:val="00973A17"/>
    <w:rsid w:val="009742E9"/>
    <w:rsid w:val="009742EB"/>
    <w:rsid w:val="00975823"/>
    <w:rsid w:val="0097757D"/>
    <w:rsid w:val="00977D43"/>
    <w:rsid w:val="00985A2E"/>
    <w:rsid w:val="00990774"/>
    <w:rsid w:val="009960E6"/>
    <w:rsid w:val="0099707E"/>
    <w:rsid w:val="0099797D"/>
    <w:rsid w:val="009A4E45"/>
    <w:rsid w:val="009A6E3C"/>
    <w:rsid w:val="009A6F94"/>
    <w:rsid w:val="009A6FBC"/>
    <w:rsid w:val="009B087F"/>
    <w:rsid w:val="009B581D"/>
    <w:rsid w:val="009B674E"/>
    <w:rsid w:val="009C0918"/>
    <w:rsid w:val="009C133F"/>
    <w:rsid w:val="009C1D9F"/>
    <w:rsid w:val="009C71C7"/>
    <w:rsid w:val="009D7192"/>
    <w:rsid w:val="009E15AC"/>
    <w:rsid w:val="009E5D81"/>
    <w:rsid w:val="009E689D"/>
    <w:rsid w:val="009E69A8"/>
    <w:rsid w:val="009E7473"/>
    <w:rsid w:val="009F03E9"/>
    <w:rsid w:val="009F1DA4"/>
    <w:rsid w:val="009F2ECE"/>
    <w:rsid w:val="009F3AEB"/>
    <w:rsid w:val="009F3F54"/>
    <w:rsid w:val="009F4964"/>
    <w:rsid w:val="009F7480"/>
    <w:rsid w:val="00A001AB"/>
    <w:rsid w:val="00A00207"/>
    <w:rsid w:val="00A00236"/>
    <w:rsid w:val="00A02650"/>
    <w:rsid w:val="00A051BB"/>
    <w:rsid w:val="00A05425"/>
    <w:rsid w:val="00A1049F"/>
    <w:rsid w:val="00A1098F"/>
    <w:rsid w:val="00A10FF1"/>
    <w:rsid w:val="00A11B20"/>
    <w:rsid w:val="00A169EE"/>
    <w:rsid w:val="00A16F22"/>
    <w:rsid w:val="00A174C0"/>
    <w:rsid w:val="00A20867"/>
    <w:rsid w:val="00A23576"/>
    <w:rsid w:val="00A247DD"/>
    <w:rsid w:val="00A24DB2"/>
    <w:rsid w:val="00A3520E"/>
    <w:rsid w:val="00A36C88"/>
    <w:rsid w:val="00A372EF"/>
    <w:rsid w:val="00A40EA0"/>
    <w:rsid w:val="00A523C0"/>
    <w:rsid w:val="00A53C0E"/>
    <w:rsid w:val="00A552B7"/>
    <w:rsid w:val="00A609A2"/>
    <w:rsid w:val="00A6275D"/>
    <w:rsid w:val="00A66675"/>
    <w:rsid w:val="00A732C2"/>
    <w:rsid w:val="00A74200"/>
    <w:rsid w:val="00A74701"/>
    <w:rsid w:val="00A775BE"/>
    <w:rsid w:val="00A802BD"/>
    <w:rsid w:val="00A81C42"/>
    <w:rsid w:val="00A83D01"/>
    <w:rsid w:val="00A85804"/>
    <w:rsid w:val="00A86D02"/>
    <w:rsid w:val="00A86EFE"/>
    <w:rsid w:val="00A876DE"/>
    <w:rsid w:val="00A93DF1"/>
    <w:rsid w:val="00A96D21"/>
    <w:rsid w:val="00A97D57"/>
    <w:rsid w:val="00AA03EE"/>
    <w:rsid w:val="00AA0634"/>
    <w:rsid w:val="00AA17EE"/>
    <w:rsid w:val="00AA357B"/>
    <w:rsid w:val="00AA44F0"/>
    <w:rsid w:val="00AA6038"/>
    <w:rsid w:val="00AA63A0"/>
    <w:rsid w:val="00AA6760"/>
    <w:rsid w:val="00AA7188"/>
    <w:rsid w:val="00AB2BD2"/>
    <w:rsid w:val="00AB35C8"/>
    <w:rsid w:val="00AB4081"/>
    <w:rsid w:val="00AB49C9"/>
    <w:rsid w:val="00AC35AB"/>
    <w:rsid w:val="00AD22D7"/>
    <w:rsid w:val="00AD2302"/>
    <w:rsid w:val="00AD3016"/>
    <w:rsid w:val="00AE1B8C"/>
    <w:rsid w:val="00AE646E"/>
    <w:rsid w:val="00AE73F1"/>
    <w:rsid w:val="00AE76F0"/>
    <w:rsid w:val="00AF0F4A"/>
    <w:rsid w:val="00AF1695"/>
    <w:rsid w:val="00AF7A19"/>
    <w:rsid w:val="00B02B7D"/>
    <w:rsid w:val="00B033F4"/>
    <w:rsid w:val="00B06589"/>
    <w:rsid w:val="00B06B75"/>
    <w:rsid w:val="00B10472"/>
    <w:rsid w:val="00B11953"/>
    <w:rsid w:val="00B14B4F"/>
    <w:rsid w:val="00B172D0"/>
    <w:rsid w:val="00B177BD"/>
    <w:rsid w:val="00B17CAC"/>
    <w:rsid w:val="00B22369"/>
    <w:rsid w:val="00B2612F"/>
    <w:rsid w:val="00B27164"/>
    <w:rsid w:val="00B32630"/>
    <w:rsid w:val="00B32640"/>
    <w:rsid w:val="00B35150"/>
    <w:rsid w:val="00B367D2"/>
    <w:rsid w:val="00B36A1F"/>
    <w:rsid w:val="00B40239"/>
    <w:rsid w:val="00B4151F"/>
    <w:rsid w:val="00B42739"/>
    <w:rsid w:val="00B444CD"/>
    <w:rsid w:val="00B46457"/>
    <w:rsid w:val="00B4671D"/>
    <w:rsid w:val="00B52154"/>
    <w:rsid w:val="00B5358F"/>
    <w:rsid w:val="00B63268"/>
    <w:rsid w:val="00B6370A"/>
    <w:rsid w:val="00B6592A"/>
    <w:rsid w:val="00B705C5"/>
    <w:rsid w:val="00B74EF1"/>
    <w:rsid w:val="00B848F4"/>
    <w:rsid w:val="00B86C28"/>
    <w:rsid w:val="00B908E5"/>
    <w:rsid w:val="00B917CE"/>
    <w:rsid w:val="00B92C1A"/>
    <w:rsid w:val="00B95D45"/>
    <w:rsid w:val="00BA2809"/>
    <w:rsid w:val="00BA2FDC"/>
    <w:rsid w:val="00BA301D"/>
    <w:rsid w:val="00BA4EA5"/>
    <w:rsid w:val="00BB05FC"/>
    <w:rsid w:val="00BB1CE7"/>
    <w:rsid w:val="00BC1A74"/>
    <w:rsid w:val="00BC2FE3"/>
    <w:rsid w:val="00BC4860"/>
    <w:rsid w:val="00BC6314"/>
    <w:rsid w:val="00BC7BA6"/>
    <w:rsid w:val="00BD1B1D"/>
    <w:rsid w:val="00BD1D3C"/>
    <w:rsid w:val="00BD3428"/>
    <w:rsid w:val="00BD5379"/>
    <w:rsid w:val="00BE42FD"/>
    <w:rsid w:val="00BE5415"/>
    <w:rsid w:val="00BE7606"/>
    <w:rsid w:val="00BF054F"/>
    <w:rsid w:val="00BF2DB4"/>
    <w:rsid w:val="00BF664F"/>
    <w:rsid w:val="00BF7945"/>
    <w:rsid w:val="00C00028"/>
    <w:rsid w:val="00C006F4"/>
    <w:rsid w:val="00C00AF1"/>
    <w:rsid w:val="00C01EA7"/>
    <w:rsid w:val="00C02D74"/>
    <w:rsid w:val="00C0517E"/>
    <w:rsid w:val="00C069AC"/>
    <w:rsid w:val="00C13582"/>
    <w:rsid w:val="00C15D7E"/>
    <w:rsid w:val="00C16546"/>
    <w:rsid w:val="00C17DF3"/>
    <w:rsid w:val="00C21BBC"/>
    <w:rsid w:val="00C224BF"/>
    <w:rsid w:val="00C22562"/>
    <w:rsid w:val="00C26C94"/>
    <w:rsid w:val="00C3293B"/>
    <w:rsid w:val="00C32C25"/>
    <w:rsid w:val="00C4011E"/>
    <w:rsid w:val="00C409C0"/>
    <w:rsid w:val="00C41AEA"/>
    <w:rsid w:val="00C424EF"/>
    <w:rsid w:val="00C439CD"/>
    <w:rsid w:val="00C4400A"/>
    <w:rsid w:val="00C52F83"/>
    <w:rsid w:val="00C5337E"/>
    <w:rsid w:val="00C5402A"/>
    <w:rsid w:val="00C54494"/>
    <w:rsid w:val="00C55641"/>
    <w:rsid w:val="00C64990"/>
    <w:rsid w:val="00C661A5"/>
    <w:rsid w:val="00C66A5A"/>
    <w:rsid w:val="00C67051"/>
    <w:rsid w:val="00C71131"/>
    <w:rsid w:val="00C71F3B"/>
    <w:rsid w:val="00C72E64"/>
    <w:rsid w:val="00C80DF5"/>
    <w:rsid w:val="00C84B7C"/>
    <w:rsid w:val="00C864B0"/>
    <w:rsid w:val="00C90CFC"/>
    <w:rsid w:val="00C9206E"/>
    <w:rsid w:val="00C94C39"/>
    <w:rsid w:val="00C96D23"/>
    <w:rsid w:val="00CA0507"/>
    <w:rsid w:val="00CA0B60"/>
    <w:rsid w:val="00CA17AE"/>
    <w:rsid w:val="00CA1EBF"/>
    <w:rsid w:val="00CA2416"/>
    <w:rsid w:val="00CA3052"/>
    <w:rsid w:val="00CA3FEE"/>
    <w:rsid w:val="00CA580D"/>
    <w:rsid w:val="00CB07B8"/>
    <w:rsid w:val="00CB2DA4"/>
    <w:rsid w:val="00CB36D1"/>
    <w:rsid w:val="00CB646D"/>
    <w:rsid w:val="00CC08A1"/>
    <w:rsid w:val="00CC1832"/>
    <w:rsid w:val="00CC239F"/>
    <w:rsid w:val="00CC25D3"/>
    <w:rsid w:val="00CC60B3"/>
    <w:rsid w:val="00CC6D05"/>
    <w:rsid w:val="00CD1849"/>
    <w:rsid w:val="00CD2A1B"/>
    <w:rsid w:val="00CD35FF"/>
    <w:rsid w:val="00CD3C80"/>
    <w:rsid w:val="00CE2EBE"/>
    <w:rsid w:val="00CE39E6"/>
    <w:rsid w:val="00CE45B1"/>
    <w:rsid w:val="00CE617C"/>
    <w:rsid w:val="00CF25A9"/>
    <w:rsid w:val="00CF48E7"/>
    <w:rsid w:val="00CF4E68"/>
    <w:rsid w:val="00CF6E5E"/>
    <w:rsid w:val="00D00D28"/>
    <w:rsid w:val="00D04D60"/>
    <w:rsid w:val="00D10440"/>
    <w:rsid w:val="00D114F7"/>
    <w:rsid w:val="00D11DAD"/>
    <w:rsid w:val="00D12205"/>
    <w:rsid w:val="00D1330E"/>
    <w:rsid w:val="00D14506"/>
    <w:rsid w:val="00D148A4"/>
    <w:rsid w:val="00D14A71"/>
    <w:rsid w:val="00D2451D"/>
    <w:rsid w:val="00D25870"/>
    <w:rsid w:val="00D2760F"/>
    <w:rsid w:val="00D3131E"/>
    <w:rsid w:val="00D31EE8"/>
    <w:rsid w:val="00D345A4"/>
    <w:rsid w:val="00D34D8C"/>
    <w:rsid w:val="00D35009"/>
    <w:rsid w:val="00D350A4"/>
    <w:rsid w:val="00D36D0B"/>
    <w:rsid w:val="00D405D5"/>
    <w:rsid w:val="00D44A0E"/>
    <w:rsid w:val="00D51ACB"/>
    <w:rsid w:val="00D6030D"/>
    <w:rsid w:val="00D617ED"/>
    <w:rsid w:val="00D63AC2"/>
    <w:rsid w:val="00D65EE8"/>
    <w:rsid w:val="00D66B3B"/>
    <w:rsid w:val="00D67538"/>
    <w:rsid w:val="00D71B6B"/>
    <w:rsid w:val="00D72BE1"/>
    <w:rsid w:val="00D7358F"/>
    <w:rsid w:val="00D74311"/>
    <w:rsid w:val="00D748F8"/>
    <w:rsid w:val="00D81F6A"/>
    <w:rsid w:val="00D820C6"/>
    <w:rsid w:val="00D832F8"/>
    <w:rsid w:val="00D87AD0"/>
    <w:rsid w:val="00D92A64"/>
    <w:rsid w:val="00D9756C"/>
    <w:rsid w:val="00DA24BA"/>
    <w:rsid w:val="00DA36FE"/>
    <w:rsid w:val="00DA5CD1"/>
    <w:rsid w:val="00DA7EBD"/>
    <w:rsid w:val="00DA7F57"/>
    <w:rsid w:val="00DB35D5"/>
    <w:rsid w:val="00DB6415"/>
    <w:rsid w:val="00DB6A33"/>
    <w:rsid w:val="00DC04B4"/>
    <w:rsid w:val="00DC19BA"/>
    <w:rsid w:val="00DC241F"/>
    <w:rsid w:val="00DC38C3"/>
    <w:rsid w:val="00DC5658"/>
    <w:rsid w:val="00DC6537"/>
    <w:rsid w:val="00DC69F1"/>
    <w:rsid w:val="00DC75CE"/>
    <w:rsid w:val="00DC7E69"/>
    <w:rsid w:val="00DD15D4"/>
    <w:rsid w:val="00DD2BC3"/>
    <w:rsid w:val="00DE0389"/>
    <w:rsid w:val="00DE4244"/>
    <w:rsid w:val="00DF060C"/>
    <w:rsid w:val="00DF25EA"/>
    <w:rsid w:val="00DF2DC7"/>
    <w:rsid w:val="00DF4796"/>
    <w:rsid w:val="00DF6206"/>
    <w:rsid w:val="00DF7540"/>
    <w:rsid w:val="00E00196"/>
    <w:rsid w:val="00E00B9E"/>
    <w:rsid w:val="00E02C97"/>
    <w:rsid w:val="00E02F24"/>
    <w:rsid w:val="00E04681"/>
    <w:rsid w:val="00E046B2"/>
    <w:rsid w:val="00E05452"/>
    <w:rsid w:val="00E05B5B"/>
    <w:rsid w:val="00E0759D"/>
    <w:rsid w:val="00E109A7"/>
    <w:rsid w:val="00E14382"/>
    <w:rsid w:val="00E201D4"/>
    <w:rsid w:val="00E207C5"/>
    <w:rsid w:val="00E21228"/>
    <w:rsid w:val="00E22223"/>
    <w:rsid w:val="00E3279A"/>
    <w:rsid w:val="00E35F99"/>
    <w:rsid w:val="00E441E4"/>
    <w:rsid w:val="00E44266"/>
    <w:rsid w:val="00E44C30"/>
    <w:rsid w:val="00E45D52"/>
    <w:rsid w:val="00E50D20"/>
    <w:rsid w:val="00E52D3A"/>
    <w:rsid w:val="00E54F6E"/>
    <w:rsid w:val="00E57FF4"/>
    <w:rsid w:val="00E62D1E"/>
    <w:rsid w:val="00E64712"/>
    <w:rsid w:val="00E67389"/>
    <w:rsid w:val="00E71884"/>
    <w:rsid w:val="00E721BA"/>
    <w:rsid w:val="00E77945"/>
    <w:rsid w:val="00E8796E"/>
    <w:rsid w:val="00E87EFE"/>
    <w:rsid w:val="00E90A73"/>
    <w:rsid w:val="00E914F7"/>
    <w:rsid w:val="00E93921"/>
    <w:rsid w:val="00E93F76"/>
    <w:rsid w:val="00E94EEC"/>
    <w:rsid w:val="00E956D0"/>
    <w:rsid w:val="00E9636B"/>
    <w:rsid w:val="00E97A89"/>
    <w:rsid w:val="00EA1582"/>
    <w:rsid w:val="00EA42F9"/>
    <w:rsid w:val="00EA538E"/>
    <w:rsid w:val="00EA7164"/>
    <w:rsid w:val="00EB1021"/>
    <w:rsid w:val="00EB27F5"/>
    <w:rsid w:val="00EB2B17"/>
    <w:rsid w:val="00EB529E"/>
    <w:rsid w:val="00EB53F0"/>
    <w:rsid w:val="00EC3C86"/>
    <w:rsid w:val="00EC4F67"/>
    <w:rsid w:val="00EC79E2"/>
    <w:rsid w:val="00EC7C9C"/>
    <w:rsid w:val="00ED2533"/>
    <w:rsid w:val="00EE0671"/>
    <w:rsid w:val="00EE1455"/>
    <w:rsid w:val="00EE5954"/>
    <w:rsid w:val="00EE64DB"/>
    <w:rsid w:val="00EE6C19"/>
    <w:rsid w:val="00EF0EAF"/>
    <w:rsid w:val="00EF2315"/>
    <w:rsid w:val="00EF3619"/>
    <w:rsid w:val="00EF6105"/>
    <w:rsid w:val="00F001DC"/>
    <w:rsid w:val="00F04CD0"/>
    <w:rsid w:val="00F05EEF"/>
    <w:rsid w:val="00F108E9"/>
    <w:rsid w:val="00F12B45"/>
    <w:rsid w:val="00F1337F"/>
    <w:rsid w:val="00F13BCB"/>
    <w:rsid w:val="00F1504D"/>
    <w:rsid w:val="00F16677"/>
    <w:rsid w:val="00F17BAF"/>
    <w:rsid w:val="00F20B6A"/>
    <w:rsid w:val="00F2180D"/>
    <w:rsid w:val="00F22B7D"/>
    <w:rsid w:val="00F231C7"/>
    <w:rsid w:val="00F30B81"/>
    <w:rsid w:val="00F31060"/>
    <w:rsid w:val="00F310B7"/>
    <w:rsid w:val="00F33707"/>
    <w:rsid w:val="00F34216"/>
    <w:rsid w:val="00F344CF"/>
    <w:rsid w:val="00F3460D"/>
    <w:rsid w:val="00F365B0"/>
    <w:rsid w:val="00F37AEB"/>
    <w:rsid w:val="00F41251"/>
    <w:rsid w:val="00F42145"/>
    <w:rsid w:val="00F435B0"/>
    <w:rsid w:val="00F4611B"/>
    <w:rsid w:val="00F5289D"/>
    <w:rsid w:val="00F553E0"/>
    <w:rsid w:val="00F55A13"/>
    <w:rsid w:val="00F56FB1"/>
    <w:rsid w:val="00F57458"/>
    <w:rsid w:val="00F667F6"/>
    <w:rsid w:val="00F7660C"/>
    <w:rsid w:val="00F7735E"/>
    <w:rsid w:val="00F77583"/>
    <w:rsid w:val="00F81E02"/>
    <w:rsid w:val="00F84617"/>
    <w:rsid w:val="00F866DB"/>
    <w:rsid w:val="00F86BCF"/>
    <w:rsid w:val="00F92C7F"/>
    <w:rsid w:val="00F9388B"/>
    <w:rsid w:val="00F95202"/>
    <w:rsid w:val="00F968C6"/>
    <w:rsid w:val="00FA1B8B"/>
    <w:rsid w:val="00FA23DE"/>
    <w:rsid w:val="00FA260A"/>
    <w:rsid w:val="00FA26DC"/>
    <w:rsid w:val="00FA2E84"/>
    <w:rsid w:val="00FA3D6E"/>
    <w:rsid w:val="00FB0242"/>
    <w:rsid w:val="00FB5084"/>
    <w:rsid w:val="00FB582D"/>
    <w:rsid w:val="00FB6C3B"/>
    <w:rsid w:val="00FC703C"/>
    <w:rsid w:val="00FC73E0"/>
    <w:rsid w:val="00FC7DDA"/>
    <w:rsid w:val="00FD1D4F"/>
    <w:rsid w:val="00FD1F53"/>
    <w:rsid w:val="00FE0821"/>
    <w:rsid w:val="00FE304A"/>
    <w:rsid w:val="00FE38C7"/>
    <w:rsid w:val="00FE49F0"/>
    <w:rsid w:val="00FE6F9C"/>
    <w:rsid w:val="00FE753D"/>
    <w:rsid w:val="00FF2C35"/>
    <w:rsid w:val="00FF4401"/>
    <w:rsid w:val="00FF54D7"/>
    <w:rsid w:val="00FF70CF"/>
    <w:rsid w:val="00FF7F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AEB"/>
    <w:rPr>
      <w:rFonts w:ascii="Times New Roman" w:hAnsi="Times New Roman"/>
      <w:lang w:val="en-GB"/>
    </w:rPr>
  </w:style>
  <w:style w:type="paragraph" w:styleId="Heading1">
    <w:name w:val="heading 1"/>
    <w:basedOn w:val="Normal"/>
    <w:next w:val="Normal"/>
    <w:qFormat/>
    <w:rsid w:val="009F3AEB"/>
    <w:pPr>
      <w:keepNext/>
      <w:spacing w:before="240" w:after="60"/>
      <w:outlineLvl w:val="0"/>
    </w:pPr>
    <w:rPr>
      <w:rFonts w:ascii="Arial" w:hAnsi="Arial"/>
      <w:b/>
      <w:sz w:val="28"/>
    </w:rPr>
  </w:style>
  <w:style w:type="paragraph" w:styleId="Heading2">
    <w:name w:val="heading 2"/>
    <w:basedOn w:val="Normal"/>
    <w:next w:val="Normal"/>
    <w:qFormat/>
    <w:rsid w:val="009F3AEB"/>
    <w:pPr>
      <w:keepNext/>
      <w:spacing w:before="240" w:after="60"/>
      <w:outlineLvl w:val="1"/>
    </w:pPr>
    <w:rPr>
      <w:rFonts w:ascii="Arial" w:hAnsi="Arial"/>
      <w:b/>
      <w:i/>
      <w:sz w:val="22"/>
    </w:rPr>
  </w:style>
  <w:style w:type="paragraph" w:styleId="Heading3">
    <w:name w:val="heading 3"/>
    <w:basedOn w:val="Normal"/>
    <w:next w:val="Normal"/>
    <w:qFormat/>
    <w:rsid w:val="009F3AEB"/>
    <w:pPr>
      <w:keepNext/>
      <w:spacing w:before="240" w:after="60"/>
      <w:outlineLvl w:val="2"/>
    </w:pPr>
    <w:rPr>
      <w:rFonts w:ascii="Arial" w:hAnsi="Arial"/>
      <w:b/>
      <w:bCs/>
    </w:rPr>
  </w:style>
  <w:style w:type="paragraph" w:styleId="Heading4">
    <w:name w:val="heading 4"/>
    <w:basedOn w:val="Normal"/>
    <w:next w:val="Normal"/>
    <w:qFormat/>
    <w:rsid w:val="009F3AEB"/>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3AEB"/>
    <w:pPr>
      <w:tabs>
        <w:tab w:val="center" w:pos="4320"/>
        <w:tab w:val="right" w:pos="8640"/>
      </w:tabs>
    </w:pPr>
  </w:style>
  <w:style w:type="paragraph" w:styleId="Header">
    <w:name w:val="header"/>
    <w:basedOn w:val="Normal"/>
    <w:rsid w:val="009F3AEB"/>
    <w:pPr>
      <w:tabs>
        <w:tab w:val="center" w:pos="5400"/>
        <w:tab w:val="right" w:pos="10800"/>
      </w:tabs>
    </w:pPr>
    <w:rPr>
      <w:rFonts w:ascii="Arial" w:hAnsi="Arial"/>
      <w:sz w:val="16"/>
    </w:rPr>
  </w:style>
  <w:style w:type="paragraph" w:styleId="Title">
    <w:name w:val="Title"/>
    <w:basedOn w:val="Number"/>
    <w:next w:val="Author"/>
    <w:qFormat/>
    <w:rsid w:val="009F3AEB"/>
    <w:pPr>
      <w:spacing w:before="0" w:after="0"/>
    </w:pPr>
    <w:rPr>
      <w:b/>
      <w:bCs/>
      <w:sz w:val="22"/>
    </w:rPr>
  </w:style>
  <w:style w:type="paragraph" w:customStyle="1" w:styleId="Number">
    <w:name w:val="Number"/>
    <w:basedOn w:val="Normal"/>
    <w:next w:val="Title"/>
    <w:rsid w:val="009F3AEB"/>
    <w:pPr>
      <w:spacing w:before="120" w:after="360"/>
    </w:pPr>
    <w:rPr>
      <w:rFonts w:ascii="Arial" w:hAnsi="Arial"/>
      <w:sz w:val="28"/>
    </w:rPr>
  </w:style>
  <w:style w:type="paragraph" w:customStyle="1" w:styleId="Author">
    <w:name w:val="Author"/>
    <w:basedOn w:val="Normal"/>
    <w:next w:val="copyright"/>
    <w:rsid w:val="009F3AEB"/>
    <w:pPr>
      <w:spacing w:after="480"/>
    </w:pPr>
    <w:rPr>
      <w:rFonts w:ascii="Arial" w:hAnsi="Arial"/>
    </w:rPr>
  </w:style>
  <w:style w:type="paragraph" w:customStyle="1" w:styleId="copyright">
    <w:name w:val="copyright"/>
    <w:basedOn w:val="Author"/>
    <w:rsid w:val="009F3AEB"/>
    <w:pPr>
      <w:spacing w:after="0" w:line="140" w:lineRule="exact"/>
      <w:jc w:val="both"/>
    </w:pPr>
    <w:rPr>
      <w:sz w:val="12"/>
    </w:rPr>
  </w:style>
  <w:style w:type="paragraph" w:styleId="BodyText">
    <w:name w:val="Body Text"/>
    <w:basedOn w:val="Normal"/>
    <w:rsid w:val="009F3AEB"/>
    <w:rPr>
      <w:sz w:val="22"/>
    </w:rPr>
  </w:style>
  <w:style w:type="paragraph" w:styleId="BodyText2">
    <w:name w:val="Body Text 2"/>
    <w:basedOn w:val="Normal"/>
    <w:rsid w:val="009F3AEB"/>
    <w:pPr>
      <w:ind w:firstLine="360"/>
      <w:jc w:val="both"/>
    </w:pPr>
  </w:style>
  <w:style w:type="paragraph" w:styleId="BlockText">
    <w:name w:val="Block Text"/>
    <w:basedOn w:val="Normal"/>
    <w:rsid w:val="009F3AEB"/>
    <w:pPr>
      <w:ind w:left="144" w:right="-86" w:hanging="144"/>
      <w:jc w:val="both"/>
    </w:pPr>
  </w:style>
  <w:style w:type="paragraph" w:customStyle="1" w:styleId="rule">
    <w:name w:val="rule"/>
    <w:basedOn w:val="Normal"/>
    <w:next w:val="copyright"/>
    <w:rsid w:val="009F3AEB"/>
  </w:style>
  <w:style w:type="paragraph" w:customStyle="1" w:styleId="Head4">
    <w:name w:val="Head4"/>
    <w:basedOn w:val="Head3"/>
    <w:next w:val="para1"/>
    <w:rsid w:val="009F3AEB"/>
    <w:rPr>
      <w:b w:val="0"/>
    </w:rPr>
  </w:style>
  <w:style w:type="paragraph" w:customStyle="1" w:styleId="Head3">
    <w:name w:val="Head3"/>
    <w:basedOn w:val="para"/>
    <w:next w:val="para1"/>
    <w:rsid w:val="009F3AEB"/>
    <w:pPr>
      <w:ind w:firstLine="288"/>
    </w:pPr>
    <w:rPr>
      <w:b/>
      <w:i/>
    </w:rPr>
  </w:style>
  <w:style w:type="paragraph" w:customStyle="1" w:styleId="para">
    <w:name w:val="para"/>
    <w:basedOn w:val="Normal"/>
    <w:next w:val="para1"/>
    <w:rsid w:val="009F3AEB"/>
    <w:pPr>
      <w:jc w:val="both"/>
    </w:pPr>
  </w:style>
  <w:style w:type="paragraph" w:customStyle="1" w:styleId="para1">
    <w:name w:val="para1"/>
    <w:basedOn w:val="para"/>
    <w:rsid w:val="009F3AEB"/>
    <w:pPr>
      <w:spacing w:before="120"/>
      <w:ind w:firstLine="288"/>
    </w:pPr>
  </w:style>
  <w:style w:type="paragraph" w:styleId="BodyText3">
    <w:name w:val="Body Text 3"/>
    <w:basedOn w:val="Normal"/>
    <w:rsid w:val="009F3AEB"/>
    <w:pPr>
      <w:ind w:right="-90"/>
      <w:jc w:val="both"/>
    </w:pPr>
    <w:rPr>
      <w:sz w:val="24"/>
    </w:rPr>
  </w:style>
  <w:style w:type="paragraph" w:customStyle="1" w:styleId="Head2">
    <w:name w:val="Head2"/>
    <w:basedOn w:val="Head1"/>
    <w:next w:val="para1"/>
    <w:rsid w:val="009F3AEB"/>
    <w:pPr>
      <w:keepNext w:val="0"/>
      <w:jc w:val="both"/>
    </w:pPr>
    <w:rPr>
      <w:rFonts w:ascii="Times New Roman" w:hAnsi="Times New Roman"/>
    </w:rPr>
  </w:style>
  <w:style w:type="paragraph" w:customStyle="1" w:styleId="Head1">
    <w:name w:val="Head1"/>
    <w:basedOn w:val="Normal"/>
    <w:next w:val="para"/>
    <w:rsid w:val="009F3AEB"/>
    <w:pPr>
      <w:keepNext/>
    </w:pPr>
    <w:rPr>
      <w:rFonts w:ascii="Arial" w:hAnsi="Arial"/>
      <w:b/>
    </w:rPr>
  </w:style>
  <w:style w:type="paragraph" w:customStyle="1" w:styleId="References">
    <w:name w:val="References"/>
    <w:basedOn w:val="para"/>
    <w:rsid w:val="009F3AEB"/>
    <w:pPr>
      <w:numPr>
        <w:numId w:val="1"/>
      </w:numPr>
      <w:tabs>
        <w:tab w:val="right" w:pos="360"/>
      </w:tabs>
    </w:pPr>
  </w:style>
  <w:style w:type="paragraph" w:styleId="BodyTextIndent">
    <w:name w:val="Body Text Indent"/>
    <w:basedOn w:val="Normal"/>
    <w:rsid w:val="009F3AEB"/>
    <w:pPr>
      <w:ind w:left="1080" w:hanging="1080"/>
      <w:jc w:val="both"/>
    </w:pPr>
    <w:rPr>
      <w:rFonts w:ascii="Arial" w:hAnsi="Arial"/>
      <w:sz w:val="22"/>
      <w:lang w:val="en-US"/>
    </w:rPr>
  </w:style>
  <w:style w:type="paragraph" w:styleId="BodyTextIndent2">
    <w:name w:val="Body Text Indent 2"/>
    <w:basedOn w:val="Normal"/>
    <w:rsid w:val="009F3AEB"/>
    <w:pPr>
      <w:ind w:left="360" w:hanging="720"/>
    </w:pPr>
  </w:style>
  <w:style w:type="character" w:styleId="Hyperlink">
    <w:name w:val="Hyperlink"/>
    <w:basedOn w:val="DefaultParagraphFont"/>
    <w:rsid w:val="009F3AEB"/>
    <w:rPr>
      <w:color w:val="0000FF"/>
      <w:u w:val="single"/>
    </w:rPr>
  </w:style>
  <w:style w:type="table" w:styleId="TableGrid">
    <w:name w:val="Table Grid"/>
    <w:basedOn w:val="TableNormal"/>
    <w:rsid w:val="00F23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B5C8F"/>
    <w:rPr>
      <w:rFonts w:ascii="Times New Roman" w:hAnsi="Times New Roman"/>
      <w:lang w:val="en-GB"/>
    </w:rPr>
  </w:style>
  <w:style w:type="paragraph" w:styleId="FootnoteText">
    <w:name w:val="footnote text"/>
    <w:basedOn w:val="Normal"/>
    <w:link w:val="FootnoteTextChar"/>
    <w:rsid w:val="001A23DF"/>
  </w:style>
  <w:style w:type="character" w:customStyle="1" w:styleId="FootnoteTextChar">
    <w:name w:val="Footnote Text Char"/>
    <w:basedOn w:val="DefaultParagraphFont"/>
    <w:link w:val="FootnoteText"/>
    <w:rsid w:val="001A23DF"/>
    <w:rPr>
      <w:rFonts w:ascii="Times New Roman" w:hAnsi="Times New Roman"/>
      <w:lang w:val="en-GB"/>
    </w:rPr>
  </w:style>
  <w:style w:type="character" w:styleId="FootnoteReference">
    <w:name w:val="footnote reference"/>
    <w:basedOn w:val="DefaultParagraphFont"/>
    <w:rsid w:val="001A23DF"/>
    <w:rPr>
      <w:vertAlign w:val="superscript"/>
    </w:rPr>
  </w:style>
  <w:style w:type="paragraph" w:styleId="BalloonText">
    <w:name w:val="Balloon Text"/>
    <w:basedOn w:val="Normal"/>
    <w:link w:val="BalloonTextChar"/>
    <w:rsid w:val="00877084"/>
    <w:rPr>
      <w:rFonts w:ascii="Tahoma" w:hAnsi="Tahoma" w:cs="Tahoma"/>
      <w:sz w:val="16"/>
      <w:szCs w:val="16"/>
    </w:rPr>
  </w:style>
  <w:style w:type="character" w:customStyle="1" w:styleId="BalloonTextChar">
    <w:name w:val="Balloon Text Char"/>
    <w:basedOn w:val="DefaultParagraphFont"/>
    <w:link w:val="BalloonText"/>
    <w:rsid w:val="00877084"/>
    <w:rPr>
      <w:rFonts w:ascii="Tahoma" w:hAnsi="Tahoma" w:cs="Tahoma"/>
      <w:sz w:val="16"/>
      <w:szCs w:val="16"/>
      <w:lang w:val="en-GB"/>
    </w:rPr>
  </w:style>
  <w:style w:type="paragraph" w:styleId="ListParagraph">
    <w:name w:val="List Paragraph"/>
    <w:basedOn w:val="Normal"/>
    <w:uiPriority w:val="34"/>
    <w:qFormat/>
    <w:rsid w:val="00A1049F"/>
    <w:pPr>
      <w:ind w:left="720"/>
    </w:pPr>
  </w:style>
</w:styles>
</file>

<file path=word/webSettings.xml><?xml version="1.0" encoding="utf-8"?>
<w:webSettings xmlns:r="http://schemas.openxmlformats.org/officeDocument/2006/relationships" xmlns:w="http://schemas.openxmlformats.org/wordprocessingml/2006/main">
  <w:divs>
    <w:div w:id="323045532">
      <w:bodyDiv w:val="1"/>
      <w:marLeft w:val="0"/>
      <w:marRight w:val="0"/>
      <w:marTop w:val="0"/>
      <w:marBottom w:val="0"/>
      <w:divBdr>
        <w:top w:val="none" w:sz="0" w:space="0" w:color="auto"/>
        <w:left w:val="none" w:sz="0" w:space="0" w:color="auto"/>
        <w:bottom w:val="none" w:sz="0" w:space="0" w:color="auto"/>
        <w:right w:val="none" w:sz="0" w:space="0" w:color="auto"/>
      </w:divBdr>
      <w:divsChild>
        <w:div w:id="219949116">
          <w:marLeft w:val="0"/>
          <w:marRight w:val="0"/>
          <w:marTop w:val="0"/>
          <w:marBottom w:val="0"/>
          <w:divBdr>
            <w:top w:val="single" w:sz="18" w:space="0" w:color="6C9D30"/>
            <w:left w:val="single" w:sz="2" w:space="0" w:color="2E2E2E"/>
            <w:bottom w:val="single" w:sz="2" w:space="0" w:color="2E2E2E"/>
            <w:right w:val="single" w:sz="2" w:space="0" w:color="2E2E2E"/>
          </w:divBdr>
          <w:divsChild>
            <w:div w:id="422382930">
              <w:marLeft w:val="0"/>
              <w:marRight w:val="0"/>
              <w:marTop w:val="17"/>
              <w:marBottom w:val="0"/>
              <w:divBdr>
                <w:top w:val="none" w:sz="0" w:space="0" w:color="auto"/>
                <w:left w:val="none" w:sz="0" w:space="0" w:color="auto"/>
                <w:bottom w:val="none" w:sz="0" w:space="0" w:color="auto"/>
                <w:right w:val="none" w:sz="0" w:space="0" w:color="auto"/>
              </w:divBdr>
              <w:divsChild>
                <w:div w:id="587495900">
                  <w:marLeft w:val="0"/>
                  <w:marRight w:val="0"/>
                  <w:marTop w:val="0"/>
                  <w:marBottom w:val="0"/>
                  <w:divBdr>
                    <w:top w:val="none" w:sz="0" w:space="0" w:color="auto"/>
                    <w:left w:val="none" w:sz="0" w:space="0" w:color="auto"/>
                    <w:bottom w:val="none" w:sz="0" w:space="0" w:color="auto"/>
                    <w:right w:val="none" w:sz="0" w:space="0" w:color="auto"/>
                  </w:divBdr>
                  <w:divsChild>
                    <w:div w:id="837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586011">
      <w:bodyDiv w:val="1"/>
      <w:marLeft w:val="0"/>
      <w:marRight w:val="0"/>
      <w:marTop w:val="0"/>
      <w:marBottom w:val="0"/>
      <w:divBdr>
        <w:top w:val="none" w:sz="0" w:space="0" w:color="auto"/>
        <w:left w:val="none" w:sz="0" w:space="0" w:color="auto"/>
        <w:bottom w:val="none" w:sz="0" w:space="0" w:color="auto"/>
        <w:right w:val="none" w:sz="0" w:space="0" w:color="auto"/>
      </w:divBdr>
    </w:div>
    <w:div w:id="1344672582">
      <w:bodyDiv w:val="1"/>
      <w:marLeft w:val="0"/>
      <w:marRight w:val="0"/>
      <w:marTop w:val="0"/>
      <w:marBottom w:val="0"/>
      <w:divBdr>
        <w:top w:val="none" w:sz="0" w:space="0" w:color="auto"/>
        <w:left w:val="none" w:sz="0" w:space="0" w:color="auto"/>
        <w:bottom w:val="none" w:sz="0" w:space="0" w:color="auto"/>
        <w:right w:val="none" w:sz="0" w:space="0" w:color="auto"/>
      </w:divBdr>
    </w:div>
    <w:div w:id="1477070612">
      <w:bodyDiv w:val="1"/>
      <w:marLeft w:val="0"/>
      <w:marRight w:val="0"/>
      <w:marTop w:val="0"/>
      <w:marBottom w:val="0"/>
      <w:divBdr>
        <w:top w:val="none" w:sz="0" w:space="0" w:color="auto"/>
        <w:left w:val="none" w:sz="0" w:space="0" w:color="auto"/>
        <w:bottom w:val="none" w:sz="0" w:space="0" w:color="auto"/>
        <w:right w:val="none" w:sz="0" w:space="0" w:color="auto"/>
      </w:divBdr>
      <w:divsChild>
        <w:div w:id="2092846218">
          <w:marLeft w:val="0"/>
          <w:marRight w:val="0"/>
          <w:marTop w:val="0"/>
          <w:marBottom w:val="0"/>
          <w:divBdr>
            <w:top w:val="none" w:sz="0" w:space="0" w:color="auto"/>
            <w:left w:val="single" w:sz="2" w:space="0" w:color="2E2E2E"/>
            <w:bottom w:val="single" w:sz="2" w:space="0" w:color="2E2E2E"/>
            <w:right w:val="single" w:sz="2" w:space="0" w:color="2E2E2E"/>
          </w:divBdr>
          <w:divsChild>
            <w:div w:id="1968584040">
              <w:marLeft w:val="0"/>
              <w:marRight w:val="0"/>
              <w:marTop w:val="17"/>
              <w:marBottom w:val="0"/>
              <w:divBdr>
                <w:top w:val="none" w:sz="0" w:space="0" w:color="auto"/>
                <w:left w:val="none" w:sz="0" w:space="0" w:color="auto"/>
                <w:bottom w:val="none" w:sz="0" w:space="0" w:color="auto"/>
                <w:right w:val="none" w:sz="0" w:space="0" w:color="auto"/>
              </w:divBdr>
              <w:divsChild>
                <w:div w:id="4347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a.us/media/180381/deutsche%20bank%20report-%20nov%202010.pdf" TargetMode="External"/><Relationship Id="rId13" Type="http://schemas.openxmlformats.org/officeDocument/2006/relationships/hyperlink" Target="http://207.114.134.6/coal/oh/downloads/bernstein-report.pdf" TargetMode="External"/><Relationship Id="rId18" Type="http://schemas.openxmlformats.org/officeDocument/2006/relationships/hyperlink" Target="http://www.ncac-usaee.org/pdfs/2010_11Kaplan.pdf" TargetMode="External"/><Relationship Id="rId26" Type="http://schemas.openxmlformats.org/officeDocument/2006/relationships/hyperlink" Target="http://cm.bell-labs.com/cm/ms/what/shannonday/shannon1948.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ff.org/documents/RFF-DP-09-40.pdf" TargetMode="External"/><Relationship Id="rId34" Type="http://schemas.openxmlformats.org/officeDocument/2006/relationships/hyperlink" Target="http://www.ecn.nl/docs/library/report/2007/e07004.pdf" TargetMode="External"/><Relationship Id="rId7" Type="http://schemas.openxmlformats.org/officeDocument/2006/relationships/endnotes" Target="endnotes.xml"/><Relationship Id="rId12" Type="http://schemas.openxmlformats.org/officeDocument/2006/relationships/hyperlink" Target="http://www.epa.gov/airtransport/pdfs/FinalRIA.pdf" TargetMode="External"/><Relationship Id="rId17" Type="http://schemas.openxmlformats.org/officeDocument/2006/relationships/hyperlink" Target="http://www.ipcc.ch/pdf/special-reports/srccs/srccs_wholereport.pdf" TargetMode="External"/><Relationship Id="rId25" Type="http://schemas.openxmlformats.org/officeDocument/2006/relationships/hyperlink" Target="http://www.ucsusa.org/clean_energy/res/abouthow.html" TargetMode="External"/><Relationship Id="rId33" Type="http://schemas.openxmlformats.org/officeDocument/2006/relationships/hyperlink" Target="ftp://ecn.nl/pub/www/library/report/2004/c04007.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ei.org/meetings/Meeting%20Documents/2010-10-20-StrategicIssues-New%20CAA%20-%20Fine%20-%20ICF.pdf" TargetMode="External"/><Relationship Id="rId20" Type="http://schemas.openxmlformats.org/officeDocument/2006/relationships/hyperlink" Target="http://www.nerc.com/files/EPA_Scenario_Final.pdf" TargetMode="External"/><Relationship Id="rId29" Type="http://schemas.openxmlformats.org/officeDocument/2006/relationships/hyperlink" Target="http://www.sciencedirect.com/science/article/pii/03014215949015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eia.doe.gov/forecasting/0554(2011).pdf" TargetMode="External"/><Relationship Id="rId24" Type="http://schemas.openxmlformats.org/officeDocument/2006/relationships/hyperlink" Target="http://www.sourcewatch.org/index.php?title=Coal_plant_retirements" TargetMode="External"/><Relationship Id="rId32" Type="http://schemas.openxmlformats.org/officeDocument/2006/relationships/hyperlink" Target="http://www.rff.org/Publications/Pages/PublicationDetails.aspx?PublicationID=21281"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ist.s3.amazonaws.com/eparegs/icf-eei_scenario_results_21may2010.pdf" TargetMode="External"/><Relationship Id="rId23" Type="http://schemas.openxmlformats.org/officeDocument/2006/relationships/hyperlink" Target="http://www.netl.doe.gov/publications/proceedings/01/carbon_seq/7c2.pdf" TargetMode="External"/><Relationship Id="rId28" Type="http://schemas.openxmlformats.org/officeDocument/2006/relationships/hyperlink" Target="http://www.ieej.or.jp/aperc/2007pdf/2007_Reports/APERC_2007_A_Quest_for_Energy_Security.pdf" TargetMode="External"/><Relationship Id="rId36" Type="http://schemas.openxmlformats.org/officeDocument/2006/relationships/footer" Target="footer1.xml"/><Relationship Id="rId10" Type="http://schemas.openxmlformats.org/officeDocument/2006/relationships/hyperlink" Target="http://www.eia.gov/oiaf/aeo/assumption/pdf/electricity.pdf" TargetMode="External"/><Relationship Id="rId19" Type="http://schemas.openxmlformats.org/officeDocument/2006/relationships/hyperlink" Target="http://web.mit.edu/mitei/research/studies/documents/natural-gas-2011/NaturalGas_Report.pdf" TargetMode="External"/><Relationship Id="rId31" Type="http://schemas.openxmlformats.org/officeDocument/2006/relationships/hyperlink" Target="http://www.rff.org/Events/Pages/Toward-a-New-National-Energy-Policy-Assessing-the-Options.aspx" TargetMode="External"/><Relationship Id="rId4" Type="http://schemas.openxmlformats.org/officeDocument/2006/relationships/settings" Target="settings.xml"/><Relationship Id="rId9" Type="http://schemas.openxmlformats.org/officeDocument/2006/relationships/hyperlink" Target="http://www.eia.doe.gov/oiaf/beck_plantcosts/pdf/updatedplantcosts.pdf" TargetMode="External"/><Relationship Id="rId14" Type="http://schemas.openxmlformats.org/officeDocument/2006/relationships/hyperlink" Target="http://www.ingaa.org/File.aspx?id=10371" TargetMode="External"/><Relationship Id="rId22" Type="http://schemas.openxmlformats.org/officeDocument/2006/relationships/hyperlink" Target="http://www.rff.org/RFF/Documents/RFF-DP-11-35.pdf" TargetMode="External"/><Relationship Id="rId27" Type="http://schemas.openxmlformats.org/officeDocument/2006/relationships/hyperlink" Target="ftp://ecn.nl/pub/www/library/report/2004/c04007.pdf" TargetMode="External"/><Relationship Id="rId30" Type="http://schemas.openxmlformats.org/officeDocument/2006/relationships/hyperlink" Target="http://www.brookings.edu/~/media/research/files/papers/2011/5/clean%20energy%20aldy/05_clean_energy_aldy_paper.pdf" TargetMode="External"/><Relationship Id="rId35" Type="http://schemas.openxmlformats.org/officeDocument/2006/relationships/hyperlink" Target="http://www.energy.senate.gov/public/index.cfm/files/serve?File_id=8b0037eb-b801-4fc6-9918-f2c0d5da27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DFEA0-492A-4791-BB6E-BE3291EF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2574</Words>
  <Characters>19737</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Chris Nichols</cp:lastModifiedBy>
  <cp:revision>3</cp:revision>
  <cp:lastPrinted>2012-10-08T15:57:00Z</cp:lastPrinted>
  <dcterms:created xsi:type="dcterms:W3CDTF">2013-02-21T19:14:00Z</dcterms:created>
  <dcterms:modified xsi:type="dcterms:W3CDTF">2013-02-21T19:37:00Z</dcterms:modified>
</cp:coreProperties>
</file>