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F4E" w:rsidRPr="001E1271" w:rsidRDefault="00557F4E" w:rsidP="00557F4E">
      <w:pPr>
        <w:framePr w:w="10800" w:h="2142" w:hRule="exact" w:hSpace="187" w:wrap="auto" w:vAnchor="page" w:hAnchor="page" w:x="714" w:y="1085"/>
        <w:jc w:val="center"/>
        <w:rPr>
          <w:lang w:val="en-US"/>
        </w:rPr>
      </w:pPr>
      <w:bookmarkStart w:id="0" w:name="_GoBack"/>
      <w:bookmarkEnd w:id="0"/>
      <w:r w:rsidRPr="001E1271">
        <w:rPr>
          <w:lang w:val="en-US"/>
        </w:rPr>
        <w:t xml:space="preserve">       </w:t>
      </w:r>
      <w:r w:rsidRPr="001E1271">
        <w:rPr>
          <w:lang w:val="en-US"/>
        </w:rPr>
        <w:tab/>
      </w:r>
      <w:r w:rsidRPr="001E1271">
        <w:rPr>
          <w:lang w:val="en-US"/>
        </w:rPr>
        <w:tab/>
      </w:r>
      <w:r w:rsidRPr="001E1271">
        <w:rPr>
          <w:lang w:val="en-US"/>
        </w:rPr>
        <w:tab/>
      </w:r>
      <w:r w:rsidRPr="001E1271">
        <w:rPr>
          <w:lang w:val="en-US"/>
        </w:rPr>
        <w:tab/>
      </w:r>
      <w:r w:rsidRPr="001E1271">
        <w:rPr>
          <w:lang w:val="en-US"/>
        </w:rPr>
        <w:tab/>
      </w:r>
      <w:r w:rsidRPr="001E1271">
        <w:rPr>
          <w:lang w:val="en-US"/>
        </w:rPr>
        <w:tab/>
      </w:r>
      <w:r w:rsidRPr="001E1271">
        <w:rPr>
          <w:lang w:val="en-US"/>
        </w:rPr>
        <w:tab/>
      </w:r>
      <w:r w:rsidRPr="001E1271">
        <w:rPr>
          <w:lang w:val="en-US"/>
        </w:rPr>
        <w:tab/>
      </w:r>
      <w:r w:rsidRPr="001E1271">
        <w:rPr>
          <w:lang w:val="en-US"/>
        </w:rPr>
        <w:tab/>
        <w:t xml:space="preserve">                                                 </w:t>
      </w:r>
      <w:r w:rsidRPr="001E1271">
        <w:rPr>
          <w:lang w:val="en-US"/>
        </w:rPr>
        <w:tab/>
      </w:r>
    </w:p>
    <w:p w:rsidR="00557F4E" w:rsidRPr="001E1271" w:rsidRDefault="00557F4E" w:rsidP="00557F4E">
      <w:pPr>
        <w:pStyle w:val="Textkrper"/>
        <w:framePr w:w="10800" w:h="2142" w:hRule="exact" w:hSpace="187" w:wrap="auto" w:vAnchor="page" w:hAnchor="page" w:x="714" w:y="1085"/>
        <w:rPr>
          <w:b/>
          <w:sz w:val="28"/>
          <w:szCs w:val="28"/>
          <w:lang w:val="en-US"/>
        </w:rPr>
      </w:pPr>
      <w:r w:rsidRPr="001E1271">
        <w:rPr>
          <w:b/>
          <w:i/>
          <w:caps/>
          <w:sz w:val="28"/>
          <w:szCs w:val="28"/>
          <w:lang w:val="en-US"/>
        </w:rPr>
        <w:t>Short-term Photovoltaic Power Forecasting: A Statistical Approach</w:t>
      </w:r>
    </w:p>
    <w:p w:rsidR="00557F4E" w:rsidRPr="001E1271" w:rsidRDefault="00557F4E" w:rsidP="00557F4E">
      <w:pPr>
        <w:pStyle w:val="Textkrper"/>
        <w:framePr w:w="10800" w:h="2142" w:hRule="exact" w:hSpace="187" w:wrap="auto" w:vAnchor="page" w:hAnchor="page" w:x="714" w:y="1085"/>
        <w:jc w:val="right"/>
        <w:rPr>
          <w:sz w:val="20"/>
          <w:lang w:val="en-US"/>
        </w:rPr>
      </w:pPr>
      <w:r w:rsidRPr="001E1271">
        <w:rPr>
          <w:sz w:val="20"/>
          <w:lang w:val="en-US"/>
        </w:rPr>
        <w:t xml:space="preserve"> Dragana Nikodinoska, Brandenburg University of Technology Cottbus-Senftenberg, </w:t>
      </w:r>
    </w:p>
    <w:p w:rsidR="00557F4E" w:rsidRPr="001E1271" w:rsidRDefault="00557F4E" w:rsidP="00557F4E">
      <w:pPr>
        <w:pStyle w:val="Textkrper"/>
        <w:framePr w:w="10800" w:h="2142" w:hRule="exact" w:hSpace="187" w:wrap="auto" w:vAnchor="page" w:hAnchor="page" w:x="714" w:y="1085"/>
        <w:jc w:val="right"/>
        <w:rPr>
          <w:sz w:val="20"/>
          <w:lang w:val="en-US"/>
        </w:rPr>
      </w:pPr>
      <w:r w:rsidRPr="001E1271">
        <w:rPr>
          <w:sz w:val="20"/>
          <w:lang w:val="en-US"/>
        </w:rPr>
        <w:t>+49 355 69 3586, dragana.nikodinoska@b-tu.de</w:t>
      </w:r>
    </w:p>
    <w:p w:rsidR="00557F4E" w:rsidRPr="001E1271" w:rsidRDefault="00557F4E" w:rsidP="00557F4E">
      <w:pPr>
        <w:pStyle w:val="berschrift2"/>
        <w:rPr>
          <w:rFonts w:ascii="Times New Roman" w:hAnsi="Times New Roman"/>
          <w:i w:val="0"/>
          <w:sz w:val="24"/>
          <w:szCs w:val="24"/>
          <w:lang w:val="en-US"/>
        </w:rPr>
      </w:pPr>
      <w:r w:rsidRPr="001E1271">
        <w:rPr>
          <w:rFonts w:ascii="Times New Roman" w:hAnsi="Times New Roman"/>
          <w:i w:val="0"/>
          <w:sz w:val="24"/>
          <w:szCs w:val="24"/>
          <w:lang w:val="en-US"/>
        </w:rPr>
        <w:t>Overview</w:t>
      </w:r>
    </w:p>
    <w:p w:rsidR="00557F4E" w:rsidRPr="001E1271" w:rsidRDefault="00557F4E" w:rsidP="00557F4E">
      <w:pPr>
        <w:pStyle w:val="berschrift2"/>
        <w:jc w:val="both"/>
        <w:rPr>
          <w:rFonts w:ascii="Times New Roman" w:hAnsi="Times New Roman"/>
          <w:b w:val="0"/>
          <w:i w:val="0"/>
          <w:sz w:val="20"/>
          <w:lang w:val="en-US"/>
        </w:rPr>
      </w:pPr>
      <w:r w:rsidRPr="001E1271">
        <w:rPr>
          <w:rFonts w:ascii="Times New Roman" w:hAnsi="Times New Roman"/>
          <w:b w:val="0"/>
          <w:i w:val="0"/>
          <w:sz w:val="20"/>
          <w:lang w:val="en-US"/>
        </w:rPr>
        <w:t xml:space="preserve">In several European countries, </w:t>
      </w:r>
      <w:r>
        <w:rPr>
          <w:rFonts w:ascii="Times New Roman" w:hAnsi="Times New Roman"/>
          <w:b w:val="0"/>
          <w:i w:val="0"/>
          <w:sz w:val="20"/>
          <w:lang w:val="en-US"/>
        </w:rPr>
        <w:t xml:space="preserve">solar </w:t>
      </w:r>
      <w:r w:rsidRPr="001E1271">
        <w:rPr>
          <w:rFonts w:ascii="Times New Roman" w:hAnsi="Times New Roman"/>
          <w:b w:val="0"/>
          <w:i w:val="0"/>
          <w:sz w:val="20"/>
          <w:lang w:val="en-US"/>
        </w:rPr>
        <w:t>photovoltaic</w:t>
      </w:r>
      <w:r>
        <w:rPr>
          <w:rFonts w:ascii="Times New Roman" w:hAnsi="Times New Roman"/>
          <w:b w:val="0"/>
          <w:i w:val="0"/>
          <w:sz w:val="20"/>
          <w:lang w:val="en-US"/>
        </w:rPr>
        <w:t xml:space="preserve"> (PV)</w:t>
      </w:r>
      <w:r w:rsidRPr="001E1271">
        <w:rPr>
          <w:rFonts w:ascii="Times New Roman" w:hAnsi="Times New Roman"/>
          <w:b w:val="0"/>
          <w:i w:val="0"/>
          <w:sz w:val="20"/>
          <w:lang w:val="en-US"/>
        </w:rPr>
        <w:t xml:space="preserve"> electricity</w:t>
      </w:r>
      <w:r w:rsidR="00B22DFC">
        <w:rPr>
          <w:rFonts w:ascii="Times New Roman" w:hAnsi="Times New Roman"/>
          <w:b w:val="0"/>
          <w:i w:val="0"/>
          <w:sz w:val="20"/>
          <w:lang w:val="en-US"/>
        </w:rPr>
        <w:t xml:space="preserve"> generation</w:t>
      </w:r>
      <w:r w:rsidRPr="001E1271">
        <w:rPr>
          <w:rFonts w:ascii="Times New Roman" w:hAnsi="Times New Roman"/>
          <w:b w:val="0"/>
          <w:i w:val="0"/>
          <w:sz w:val="20"/>
          <w:lang w:val="en-US"/>
        </w:rPr>
        <w:t xml:space="preserve"> represents one of the pillars of the energy transition and has constantly increasing share in the energy mix. In Germany, one of the leaders</w:t>
      </w:r>
      <w:r>
        <w:rPr>
          <w:rFonts w:ascii="Times New Roman" w:hAnsi="Times New Roman"/>
          <w:b w:val="0"/>
          <w:i w:val="0"/>
          <w:sz w:val="20"/>
          <w:lang w:val="en-US"/>
        </w:rPr>
        <w:t xml:space="preserve"> in</w:t>
      </w:r>
      <w:r w:rsidRPr="001E1271">
        <w:rPr>
          <w:rFonts w:ascii="Times New Roman" w:hAnsi="Times New Roman"/>
          <w:b w:val="0"/>
          <w:i w:val="0"/>
          <w:sz w:val="20"/>
          <w:lang w:val="en-US"/>
        </w:rPr>
        <w:t xml:space="preserve"> </w:t>
      </w:r>
      <w:r>
        <w:rPr>
          <w:rFonts w:ascii="Times New Roman" w:hAnsi="Times New Roman"/>
          <w:b w:val="0"/>
          <w:i w:val="0"/>
          <w:sz w:val="20"/>
          <w:lang w:val="en-US"/>
        </w:rPr>
        <w:t>renewable</w:t>
      </w:r>
      <w:r w:rsidRPr="001E1271">
        <w:rPr>
          <w:rFonts w:ascii="Times New Roman" w:hAnsi="Times New Roman"/>
          <w:b w:val="0"/>
          <w:i w:val="0"/>
          <w:sz w:val="20"/>
          <w:lang w:val="en-US"/>
        </w:rPr>
        <w:t xml:space="preserve"> energy, photovoltaic systems have undergone a tremendous growth in the past 15 years: from 1.1 GW in 2004 to 45.9 GW in 2018. Depending on the time of day and weather conditions, electricity is produced during the sunshine hours and fed into the transmission grid whereas</w:t>
      </w:r>
      <w:r w:rsidRPr="001E1271">
        <w:rPr>
          <w:rFonts w:ascii="Times New Roman" w:hAnsi="Times New Roman"/>
          <w:lang w:val="en-US"/>
        </w:rPr>
        <w:t xml:space="preserve"> </w:t>
      </w:r>
      <w:r w:rsidRPr="001E1271">
        <w:rPr>
          <w:rFonts w:ascii="Times New Roman" w:hAnsi="Times New Roman"/>
          <w:b w:val="0"/>
          <w:i w:val="0"/>
          <w:sz w:val="20"/>
          <w:lang w:val="en-US"/>
        </w:rPr>
        <w:t>consumers cannot necessarily always directly accept the renewable power generated. Because of the variability and excess availability of this renewable energy source, accurate PV forecasts are essential for their enhanced integration into the system and for lower system costs. In the face of growing power generation from renewable sources, the aim of th</w:t>
      </w:r>
      <w:r>
        <w:rPr>
          <w:rFonts w:ascii="Times New Roman" w:hAnsi="Times New Roman"/>
          <w:b w:val="0"/>
          <w:i w:val="0"/>
          <w:sz w:val="20"/>
          <w:lang w:val="en-US"/>
        </w:rPr>
        <w:t>e</w:t>
      </w:r>
      <w:r w:rsidRPr="001E1271">
        <w:rPr>
          <w:rFonts w:ascii="Times New Roman" w:hAnsi="Times New Roman"/>
          <w:b w:val="0"/>
          <w:i w:val="0"/>
          <w:sz w:val="20"/>
          <w:lang w:val="en-US"/>
        </w:rPr>
        <w:t xml:space="preserve"> paper is to obtain</w:t>
      </w:r>
      <w:r w:rsidR="00B22DFC">
        <w:rPr>
          <w:rFonts w:ascii="Times New Roman" w:hAnsi="Times New Roman"/>
          <w:b w:val="0"/>
          <w:i w:val="0"/>
          <w:sz w:val="20"/>
          <w:lang w:val="en-US"/>
        </w:rPr>
        <w:t xml:space="preserve"> more</w:t>
      </w:r>
      <w:r w:rsidRPr="001E1271">
        <w:rPr>
          <w:rFonts w:ascii="Times New Roman" w:hAnsi="Times New Roman"/>
          <w:b w:val="0"/>
          <w:i w:val="0"/>
          <w:sz w:val="20"/>
          <w:lang w:val="en-US"/>
        </w:rPr>
        <w:t xml:space="preserve"> precise predictions of the day-ahead PV feed-in. </w:t>
      </w:r>
    </w:p>
    <w:p w:rsidR="00557F4E" w:rsidRPr="001E1271" w:rsidRDefault="00557F4E" w:rsidP="00557F4E">
      <w:pPr>
        <w:rPr>
          <w:lang w:val="en-US"/>
        </w:rPr>
      </w:pPr>
    </w:p>
    <w:p w:rsidR="00557F4E" w:rsidRPr="001E1271" w:rsidRDefault="00557F4E" w:rsidP="00557F4E">
      <w:pPr>
        <w:pStyle w:val="Textkrper2"/>
        <w:spacing w:after="200"/>
        <w:ind w:firstLine="0"/>
        <w:rPr>
          <w:b/>
          <w:sz w:val="24"/>
          <w:szCs w:val="24"/>
          <w:lang w:val="en-US"/>
        </w:rPr>
      </w:pPr>
      <w:r w:rsidRPr="001E1271">
        <w:rPr>
          <w:b/>
          <w:sz w:val="24"/>
          <w:szCs w:val="24"/>
          <w:lang w:val="en-US"/>
        </w:rPr>
        <w:t>Methods</w:t>
      </w:r>
    </w:p>
    <w:p w:rsidR="00557F4E" w:rsidRPr="001E1271" w:rsidRDefault="00557F4E" w:rsidP="00557F4E">
      <w:pPr>
        <w:pStyle w:val="Textkrper2"/>
        <w:spacing w:after="200"/>
        <w:ind w:firstLine="0"/>
        <w:rPr>
          <w:lang w:val="en-US"/>
        </w:rPr>
      </w:pPr>
      <w:r w:rsidRPr="001E1271">
        <w:rPr>
          <w:lang w:val="en-US"/>
        </w:rPr>
        <w:t>The forecasting model involves a dynamic linear combination of different single forecasts. The model also allows to penalize for especially large deviations of the model coefficients</w:t>
      </w:r>
      <w:r>
        <w:rPr>
          <w:lang w:val="en-US"/>
        </w:rPr>
        <w:t xml:space="preserve"> and for unnecessary explanatory variables. </w:t>
      </w:r>
      <w:r w:rsidRPr="001E1271">
        <w:rPr>
          <w:lang w:val="en-US"/>
        </w:rPr>
        <w:t xml:space="preserve"> The structure of the model </w:t>
      </w:r>
      <w:r>
        <w:rPr>
          <w:lang w:val="en-US"/>
        </w:rPr>
        <w:t>is such that it</w:t>
      </w:r>
      <w:r w:rsidRPr="001E1271">
        <w:rPr>
          <w:lang w:val="en-US"/>
        </w:rPr>
        <w:t xml:space="preserve"> can be applied </w:t>
      </w:r>
      <w:r>
        <w:rPr>
          <w:lang w:val="en-US"/>
        </w:rPr>
        <w:t>for</w:t>
      </w:r>
      <w:r w:rsidRPr="001E1271">
        <w:rPr>
          <w:lang w:val="en-US"/>
        </w:rPr>
        <w:t xml:space="preserve"> predicting energy from different renewable sources. The data is obtained in</w:t>
      </w:r>
      <w:r w:rsidRPr="001E1271">
        <w:rPr>
          <w:color w:val="FF0000"/>
          <w:lang w:val="en-US"/>
        </w:rPr>
        <w:t xml:space="preserve"> </w:t>
      </w:r>
      <w:r w:rsidRPr="001E1271">
        <w:rPr>
          <w:lang w:val="en-US"/>
        </w:rPr>
        <w:t>cooperation with one of the German transmission grid operators and covers the years 2012-2018. In this one regional zone in Germany approximately one quarter of the total installed PV capacity is located. The data is gathered in quarter-hourly</w:t>
      </w:r>
      <w:r w:rsidRPr="001E1271">
        <w:rPr>
          <w:color w:val="FF0000"/>
          <w:lang w:val="en-US"/>
        </w:rPr>
        <w:t xml:space="preserve"> </w:t>
      </w:r>
      <w:r w:rsidRPr="001E1271">
        <w:rPr>
          <w:lang w:val="en-US"/>
        </w:rPr>
        <w:t xml:space="preserve">intervals, totaling 245,472 observations. In the first stage, the data undergoes several checks for consistency and </w:t>
      </w:r>
      <w:r w:rsidRPr="004345B6">
        <w:rPr>
          <w:lang w:val="en-US"/>
        </w:rPr>
        <w:t>reliability</w:t>
      </w:r>
      <w:r w:rsidRPr="001E1271">
        <w:rPr>
          <w:lang w:val="en-US"/>
        </w:rPr>
        <w:t xml:space="preserve">, as well as detailed analyses of the individual forecasting errors of the six different forecasts. After this stage, the forecasts are used in a combination model (with dynamic estimation of the model coefficients) and final improved forecasts for photovoltaic </w:t>
      </w:r>
      <w:r>
        <w:rPr>
          <w:lang w:val="en-US"/>
        </w:rPr>
        <w:t>feed-in</w:t>
      </w:r>
      <w:r w:rsidRPr="001E1271">
        <w:rPr>
          <w:lang w:val="en-US"/>
        </w:rPr>
        <w:t xml:space="preserve"> are obtained.</w:t>
      </w:r>
      <w:r w:rsidRPr="001E1271">
        <w:rPr>
          <w:color w:val="FF0000"/>
          <w:lang w:val="en-US"/>
        </w:rPr>
        <w:t xml:space="preserve">  </w:t>
      </w:r>
      <w:r w:rsidRPr="001E1271">
        <w:rPr>
          <w:lang w:val="en-US"/>
        </w:rPr>
        <w:t xml:space="preserve">  </w:t>
      </w:r>
    </w:p>
    <w:p w:rsidR="00557F4E" w:rsidRPr="001E1271" w:rsidRDefault="00557F4E" w:rsidP="00557F4E">
      <w:pPr>
        <w:pStyle w:val="Textkrper2"/>
        <w:spacing w:after="200"/>
        <w:ind w:firstLine="0"/>
        <w:rPr>
          <w:b/>
          <w:sz w:val="24"/>
          <w:szCs w:val="24"/>
          <w:lang w:val="en-US"/>
        </w:rPr>
      </w:pPr>
      <w:r w:rsidRPr="001E1271">
        <w:rPr>
          <w:b/>
          <w:sz w:val="24"/>
          <w:szCs w:val="24"/>
          <w:lang w:val="en-US"/>
        </w:rPr>
        <w:t>Results</w:t>
      </w:r>
    </w:p>
    <w:p w:rsidR="00557F4E" w:rsidRPr="001E1271" w:rsidRDefault="00557F4E" w:rsidP="00557F4E">
      <w:pPr>
        <w:pStyle w:val="Textkrper2"/>
        <w:spacing w:after="200"/>
        <w:ind w:firstLine="0"/>
        <w:rPr>
          <w:sz w:val="24"/>
          <w:szCs w:val="24"/>
          <w:lang w:val="en-US"/>
        </w:rPr>
      </w:pPr>
      <w:r w:rsidRPr="001E1271">
        <w:rPr>
          <w:lang w:val="en-US"/>
        </w:rPr>
        <w:t xml:space="preserve">The precision and bias of the forecasts are evaluated </w:t>
      </w:r>
      <w:r w:rsidR="00B22DFC">
        <w:rPr>
          <w:lang w:val="en-US"/>
        </w:rPr>
        <w:t>using</w:t>
      </w:r>
      <w:r w:rsidRPr="001E1271">
        <w:rPr>
          <w:lang w:val="en-US"/>
        </w:rPr>
        <w:t xml:space="preserve"> several measures like the mean squared error (MSE), the relative mean squared error (RMSE), the mean error (ME), the mean absolute error (MAE)</w:t>
      </w:r>
      <w:r w:rsidRPr="00B73F7B">
        <w:rPr>
          <w:lang w:val="en-US"/>
        </w:rPr>
        <w:t xml:space="preserve"> </w:t>
      </w:r>
      <w:r w:rsidRPr="001E1271">
        <w:rPr>
          <w:lang w:val="en-US"/>
        </w:rPr>
        <w:t>and</w:t>
      </w:r>
      <w:r>
        <w:rPr>
          <w:lang w:val="en-US"/>
        </w:rPr>
        <w:t xml:space="preserve"> a skill score</w:t>
      </w:r>
      <w:r w:rsidR="00EF3889">
        <w:rPr>
          <w:lang w:val="en-US"/>
        </w:rPr>
        <w:t xml:space="preserve"> (SS)</w:t>
      </w:r>
      <w:r>
        <w:rPr>
          <w:lang w:val="en-US"/>
        </w:rPr>
        <w:t xml:space="preserve"> relative to two benchmarks</w:t>
      </w:r>
      <w:r w:rsidRPr="001E1271">
        <w:rPr>
          <w:lang w:val="en-US"/>
        </w:rPr>
        <w:t>. The new forecasts have a smaller monthly and yearly forecasting errors (especially in terms of RMSE and MSE) for extended periods in comparison to other combination models like a static regression or</w:t>
      </w:r>
      <w:r w:rsidRPr="001E1271">
        <w:rPr>
          <w:color w:val="FF0000"/>
          <w:lang w:val="en-US"/>
        </w:rPr>
        <w:t xml:space="preserve"> </w:t>
      </w:r>
      <w:r w:rsidRPr="001E1271">
        <w:rPr>
          <w:lang w:val="en-US"/>
        </w:rPr>
        <w:t xml:space="preserve">arithmetic average of individual forecasts. </w:t>
      </w:r>
      <w:r w:rsidR="0039088D">
        <w:rPr>
          <w:lang w:val="en-US"/>
        </w:rPr>
        <w:t xml:space="preserve">The combined forecast </w:t>
      </w:r>
      <w:r w:rsidR="00B22DFC">
        <w:rPr>
          <w:lang w:val="en-US"/>
        </w:rPr>
        <w:t xml:space="preserve">also </w:t>
      </w:r>
      <w:r w:rsidR="0039088D">
        <w:rPr>
          <w:lang w:val="en-US"/>
        </w:rPr>
        <w:t xml:space="preserve">performs better than each of the individual forecasts. </w:t>
      </w:r>
      <w:r w:rsidRPr="001E1271">
        <w:rPr>
          <w:lang w:val="en-US"/>
        </w:rPr>
        <w:t xml:space="preserve">The </w:t>
      </w:r>
      <w:r>
        <w:rPr>
          <w:lang w:val="en-US"/>
        </w:rPr>
        <w:t xml:space="preserve">monthly </w:t>
      </w:r>
      <w:r w:rsidRPr="001E1271">
        <w:rPr>
          <w:lang w:val="en-US"/>
        </w:rPr>
        <w:t>forecasting errors are largest during</w:t>
      </w:r>
      <w:r w:rsidR="0039088D">
        <w:rPr>
          <w:lang w:val="en-US"/>
        </w:rPr>
        <w:t xml:space="preserve"> April,</w:t>
      </w:r>
      <w:r w:rsidRPr="001E1271">
        <w:rPr>
          <w:lang w:val="en-US"/>
        </w:rPr>
        <w:t xml:space="preserve"> May</w:t>
      </w:r>
      <w:r w:rsidR="0039088D">
        <w:rPr>
          <w:lang w:val="en-US"/>
        </w:rPr>
        <w:t xml:space="preserve"> and</w:t>
      </w:r>
      <w:r w:rsidRPr="001E1271">
        <w:rPr>
          <w:lang w:val="en-US"/>
        </w:rPr>
        <w:t xml:space="preserve"> June under all three methods, which might be explained by increased </w:t>
      </w:r>
      <w:r w:rsidR="0039088D">
        <w:rPr>
          <w:lang w:val="en-US"/>
        </w:rPr>
        <w:t>availability and variability</w:t>
      </w:r>
      <w:r w:rsidRPr="001E1271">
        <w:rPr>
          <w:lang w:val="en-US"/>
        </w:rPr>
        <w:t xml:space="preserve"> of s</w:t>
      </w:r>
      <w:r w:rsidR="0039088D">
        <w:rPr>
          <w:lang w:val="en-US"/>
        </w:rPr>
        <w:t>olar irradiance</w:t>
      </w:r>
      <w:r w:rsidRPr="001E1271">
        <w:rPr>
          <w:lang w:val="en-US"/>
        </w:rPr>
        <w:t xml:space="preserve"> during these months in </w:t>
      </w:r>
      <w:r>
        <w:rPr>
          <w:lang w:val="en-US"/>
        </w:rPr>
        <w:t>Europe</w:t>
      </w:r>
      <w:r w:rsidRPr="001E1271">
        <w:rPr>
          <w:lang w:val="en-US"/>
        </w:rPr>
        <w:t xml:space="preserve">. </w:t>
      </w:r>
    </w:p>
    <w:p w:rsidR="00557F4E" w:rsidRPr="001E1271" w:rsidRDefault="00557F4E" w:rsidP="00557F4E">
      <w:pPr>
        <w:pStyle w:val="berschrift2"/>
        <w:jc w:val="both"/>
        <w:rPr>
          <w:rFonts w:ascii="Times New Roman" w:hAnsi="Times New Roman"/>
          <w:i w:val="0"/>
          <w:sz w:val="24"/>
          <w:szCs w:val="24"/>
          <w:lang w:val="en-US"/>
        </w:rPr>
      </w:pPr>
      <w:r w:rsidRPr="001E1271">
        <w:rPr>
          <w:rFonts w:ascii="Times New Roman" w:hAnsi="Times New Roman"/>
          <w:i w:val="0"/>
          <w:sz w:val="24"/>
          <w:szCs w:val="24"/>
          <w:lang w:val="en-US"/>
        </w:rPr>
        <w:t>Conclusions</w:t>
      </w:r>
    </w:p>
    <w:p w:rsidR="00557F4E" w:rsidRPr="001E1271" w:rsidRDefault="00557F4E" w:rsidP="00557F4E">
      <w:pPr>
        <w:pStyle w:val="berschrift2"/>
        <w:jc w:val="both"/>
        <w:rPr>
          <w:rFonts w:ascii="Times New Roman" w:hAnsi="Times New Roman"/>
          <w:b w:val="0"/>
          <w:i w:val="0"/>
          <w:sz w:val="20"/>
          <w:lang w:val="en-US"/>
        </w:rPr>
      </w:pPr>
      <w:r w:rsidRPr="001E1271">
        <w:rPr>
          <w:rFonts w:ascii="Times New Roman" w:hAnsi="Times New Roman"/>
          <w:b w:val="0"/>
          <w:i w:val="0"/>
          <w:sz w:val="20"/>
          <w:lang w:val="en-US"/>
        </w:rPr>
        <w:t xml:space="preserve">Combining the forecasts from different commercial forecasting institutions with a dynamic method leads to </w:t>
      </w:r>
      <w:r w:rsidR="00B22DFC">
        <w:rPr>
          <w:rFonts w:ascii="Times New Roman" w:hAnsi="Times New Roman"/>
          <w:b w:val="0"/>
          <w:i w:val="0"/>
          <w:sz w:val="20"/>
          <w:lang w:val="en-US"/>
        </w:rPr>
        <w:t>reduced</w:t>
      </w:r>
      <w:r w:rsidRPr="001E1271">
        <w:rPr>
          <w:rFonts w:ascii="Times New Roman" w:hAnsi="Times New Roman"/>
          <w:b w:val="0"/>
          <w:i w:val="0"/>
          <w:sz w:val="20"/>
          <w:lang w:val="en-US"/>
        </w:rPr>
        <w:t xml:space="preserve"> forecast errors and enhances the precision of the 24-hours ahead PV forecasts for </w:t>
      </w:r>
      <w:r>
        <w:rPr>
          <w:rFonts w:ascii="Times New Roman" w:hAnsi="Times New Roman"/>
          <w:b w:val="0"/>
          <w:i w:val="0"/>
          <w:sz w:val="20"/>
          <w:lang w:val="en-US"/>
        </w:rPr>
        <w:t xml:space="preserve">German </w:t>
      </w:r>
      <w:r w:rsidRPr="001E1271">
        <w:rPr>
          <w:rFonts w:ascii="Times New Roman" w:hAnsi="Times New Roman"/>
          <w:b w:val="0"/>
          <w:i w:val="0"/>
          <w:sz w:val="20"/>
          <w:lang w:val="en-US"/>
        </w:rPr>
        <w:t xml:space="preserve">data. The combined forecast performs better than </w:t>
      </w:r>
      <w:r>
        <w:rPr>
          <w:rFonts w:ascii="Times New Roman" w:hAnsi="Times New Roman"/>
          <w:b w:val="0"/>
          <w:i w:val="0"/>
          <w:sz w:val="20"/>
          <w:lang w:val="en-US"/>
        </w:rPr>
        <w:t>two</w:t>
      </w:r>
      <w:r w:rsidRPr="001E1271">
        <w:rPr>
          <w:rFonts w:ascii="Times New Roman" w:hAnsi="Times New Roman"/>
          <w:b w:val="0"/>
          <w:i w:val="0"/>
          <w:sz w:val="20"/>
          <w:lang w:val="en-US"/>
        </w:rPr>
        <w:t xml:space="preserve"> benchmark</w:t>
      </w:r>
      <w:r>
        <w:rPr>
          <w:rFonts w:ascii="Times New Roman" w:hAnsi="Times New Roman"/>
          <w:b w:val="0"/>
          <w:i w:val="0"/>
          <w:sz w:val="20"/>
          <w:lang w:val="en-US"/>
        </w:rPr>
        <w:t>s in terms of forecasting errors and as measured by the skill score</w:t>
      </w:r>
      <w:r w:rsidRPr="001E1271">
        <w:rPr>
          <w:rFonts w:ascii="Times New Roman" w:hAnsi="Times New Roman"/>
          <w:b w:val="0"/>
          <w:i w:val="0"/>
          <w:sz w:val="20"/>
          <w:lang w:val="en-US"/>
        </w:rPr>
        <w:t xml:space="preserve"> and also brings improvements relative to</w:t>
      </w:r>
      <w:r>
        <w:rPr>
          <w:rFonts w:ascii="Times New Roman" w:hAnsi="Times New Roman"/>
          <w:b w:val="0"/>
          <w:i w:val="0"/>
          <w:sz w:val="20"/>
          <w:lang w:val="en-US"/>
        </w:rPr>
        <w:t xml:space="preserve"> each of</w:t>
      </w:r>
      <w:r w:rsidRPr="001E1271">
        <w:rPr>
          <w:rFonts w:ascii="Times New Roman" w:hAnsi="Times New Roman"/>
          <w:b w:val="0"/>
          <w:i w:val="0"/>
          <w:sz w:val="20"/>
          <w:lang w:val="en-US"/>
        </w:rPr>
        <w:t xml:space="preserve"> the individual forecasts. The results will be useful in order </w:t>
      </w:r>
      <w:r>
        <w:rPr>
          <w:rFonts w:ascii="Times New Roman" w:hAnsi="Times New Roman"/>
          <w:b w:val="0"/>
          <w:i w:val="0"/>
          <w:sz w:val="20"/>
          <w:lang w:val="en-US"/>
        </w:rPr>
        <w:t xml:space="preserve">to </w:t>
      </w:r>
      <w:r w:rsidRPr="001E1271">
        <w:rPr>
          <w:rFonts w:ascii="Times New Roman" w:hAnsi="Times New Roman"/>
          <w:b w:val="0"/>
          <w:i w:val="0"/>
          <w:sz w:val="20"/>
          <w:lang w:val="en-US"/>
        </w:rPr>
        <w:t>increase the integration of renewable energy into the energy system and reduce the system balancing costs</w:t>
      </w:r>
      <w:r w:rsidR="0039088D">
        <w:rPr>
          <w:rFonts w:ascii="Times New Roman" w:hAnsi="Times New Roman"/>
          <w:b w:val="0"/>
          <w:i w:val="0"/>
          <w:sz w:val="20"/>
          <w:lang w:val="en-US"/>
        </w:rPr>
        <w:t xml:space="preserve"> and the model can have wider application</w:t>
      </w:r>
      <w:r w:rsidRPr="001E1271">
        <w:rPr>
          <w:rFonts w:ascii="Times New Roman" w:hAnsi="Times New Roman"/>
          <w:b w:val="0"/>
          <w:i w:val="0"/>
          <w:sz w:val="20"/>
          <w:lang w:val="en-US"/>
        </w:rPr>
        <w:t xml:space="preserve"> in Germany as well as other European countries.</w:t>
      </w:r>
    </w:p>
    <w:p w:rsidR="00557F4E" w:rsidRPr="001E1271" w:rsidRDefault="00557F4E" w:rsidP="00557F4E">
      <w:pPr>
        <w:rPr>
          <w:lang w:val="en-US"/>
        </w:rPr>
      </w:pPr>
    </w:p>
    <w:p w:rsidR="00557F4E" w:rsidRPr="001E1271" w:rsidRDefault="00557F4E" w:rsidP="00557F4E">
      <w:pPr>
        <w:pStyle w:val="Textkrper2"/>
        <w:spacing w:after="200"/>
        <w:rPr>
          <w:lang w:val="en-US"/>
        </w:rPr>
      </w:pPr>
    </w:p>
    <w:p w:rsidR="00EF31A5" w:rsidRPr="00557F4E" w:rsidRDefault="00EF31A5">
      <w:pPr>
        <w:rPr>
          <w:lang w:val="en-US"/>
        </w:rPr>
      </w:pPr>
    </w:p>
    <w:sectPr w:rsidR="00EF31A5" w:rsidRPr="00557F4E" w:rsidSect="00557F4E">
      <w:headerReference w:type="first" r:id="rId6"/>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332" w:rsidRDefault="005C0332">
      <w:pPr>
        <w:spacing w:after="0" w:line="240" w:lineRule="auto"/>
      </w:pPr>
      <w:r>
        <w:separator/>
      </w:r>
    </w:p>
  </w:endnote>
  <w:endnote w:type="continuationSeparator" w:id="0">
    <w:p w:rsidR="005C0332" w:rsidRDefault="005C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332" w:rsidRDefault="005C0332">
      <w:pPr>
        <w:spacing w:after="0" w:line="240" w:lineRule="auto"/>
      </w:pPr>
      <w:r>
        <w:separator/>
      </w:r>
    </w:p>
  </w:footnote>
  <w:footnote w:type="continuationSeparator" w:id="0">
    <w:p w:rsidR="005C0332" w:rsidRDefault="005C0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112" w:rsidRDefault="00EF3889" w:rsidP="00DC69F1">
    <w:pPr>
      <w:pStyle w:val="Kopfzeile"/>
      <w:tabs>
        <w:tab w:val="clear" w:pos="5400"/>
        <w:tab w:val="center" w:pos="851"/>
      </w:tabs>
      <w:jc w:val="right"/>
    </w:pPr>
    <w:r>
      <w:rPr>
        <w:lang w:val="en-US"/>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F4E"/>
    <w:rsid w:val="002D66FE"/>
    <w:rsid w:val="0039088D"/>
    <w:rsid w:val="00557F4E"/>
    <w:rsid w:val="005C0332"/>
    <w:rsid w:val="00B22DFC"/>
    <w:rsid w:val="00E54289"/>
    <w:rsid w:val="00EF31A5"/>
    <w:rsid w:val="00EF3889"/>
    <w:rsid w:val="00F008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605CC-DF65-4518-B812-D254C090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qFormat/>
    <w:rsid w:val="00557F4E"/>
    <w:pPr>
      <w:keepNext/>
      <w:spacing w:before="240" w:after="60" w:line="240" w:lineRule="auto"/>
      <w:outlineLvl w:val="1"/>
    </w:pPr>
    <w:rPr>
      <w:rFonts w:ascii="Arial" w:eastAsia="Times New Roman" w:hAnsi="Arial" w:cs="Times New Roman"/>
      <w:b/>
      <w:i/>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557F4E"/>
    <w:rPr>
      <w:rFonts w:ascii="Arial" w:eastAsia="Times New Roman" w:hAnsi="Arial" w:cs="Times New Roman"/>
      <w:b/>
      <w:i/>
      <w:szCs w:val="20"/>
      <w:lang w:val="en-GB"/>
    </w:rPr>
  </w:style>
  <w:style w:type="paragraph" w:styleId="Kopfzeile">
    <w:name w:val="header"/>
    <w:basedOn w:val="Standard"/>
    <w:link w:val="KopfzeileZchn"/>
    <w:rsid w:val="00557F4E"/>
    <w:pPr>
      <w:tabs>
        <w:tab w:val="center" w:pos="5400"/>
        <w:tab w:val="right" w:pos="10800"/>
      </w:tabs>
      <w:spacing w:after="0" w:line="240" w:lineRule="auto"/>
    </w:pPr>
    <w:rPr>
      <w:rFonts w:ascii="Arial" w:eastAsia="Times New Roman" w:hAnsi="Arial" w:cs="Times New Roman"/>
      <w:sz w:val="16"/>
      <w:szCs w:val="20"/>
      <w:lang w:val="en-GB"/>
    </w:rPr>
  </w:style>
  <w:style w:type="character" w:customStyle="1" w:styleId="KopfzeileZchn">
    <w:name w:val="Kopfzeile Zchn"/>
    <w:basedOn w:val="Absatz-Standardschriftart"/>
    <w:link w:val="Kopfzeile"/>
    <w:rsid w:val="00557F4E"/>
    <w:rPr>
      <w:rFonts w:ascii="Arial" w:eastAsia="Times New Roman" w:hAnsi="Arial" w:cs="Times New Roman"/>
      <w:sz w:val="16"/>
      <w:szCs w:val="20"/>
      <w:lang w:val="en-GB"/>
    </w:rPr>
  </w:style>
  <w:style w:type="paragraph" w:styleId="Textkrper">
    <w:name w:val="Body Text"/>
    <w:basedOn w:val="Standard"/>
    <w:link w:val="TextkrperZchn"/>
    <w:rsid w:val="00557F4E"/>
    <w:pPr>
      <w:spacing w:after="0" w:line="240" w:lineRule="auto"/>
    </w:pPr>
    <w:rPr>
      <w:rFonts w:ascii="Times New Roman" w:eastAsia="Times New Roman" w:hAnsi="Times New Roman" w:cs="Times New Roman"/>
      <w:szCs w:val="20"/>
      <w:lang w:val="en-GB"/>
    </w:rPr>
  </w:style>
  <w:style w:type="character" w:customStyle="1" w:styleId="TextkrperZchn">
    <w:name w:val="Textkörper Zchn"/>
    <w:basedOn w:val="Absatz-Standardschriftart"/>
    <w:link w:val="Textkrper"/>
    <w:rsid w:val="00557F4E"/>
    <w:rPr>
      <w:rFonts w:ascii="Times New Roman" w:eastAsia="Times New Roman" w:hAnsi="Times New Roman" w:cs="Times New Roman"/>
      <w:szCs w:val="20"/>
      <w:lang w:val="en-GB"/>
    </w:rPr>
  </w:style>
  <w:style w:type="paragraph" w:styleId="Textkrper2">
    <w:name w:val="Body Text 2"/>
    <w:basedOn w:val="Standard"/>
    <w:link w:val="Textkrper2Zchn"/>
    <w:rsid w:val="00557F4E"/>
    <w:pPr>
      <w:spacing w:after="0" w:line="240" w:lineRule="auto"/>
      <w:ind w:firstLine="360"/>
      <w:jc w:val="both"/>
    </w:pPr>
    <w:rPr>
      <w:rFonts w:ascii="Times New Roman" w:eastAsia="Times New Roman" w:hAnsi="Times New Roman" w:cs="Times New Roman"/>
      <w:sz w:val="20"/>
      <w:szCs w:val="20"/>
      <w:lang w:val="en-GB"/>
    </w:rPr>
  </w:style>
  <w:style w:type="character" w:customStyle="1" w:styleId="Textkrper2Zchn">
    <w:name w:val="Textkörper 2 Zchn"/>
    <w:basedOn w:val="Absatz-Standardschriftart"/>
    <w:link w:val="Textkrper2"/>
    <w:rsid w:val="00557F4E"/>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3189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HiWi</dc:creator>
  <cp:keywords/>
  <dc:description/>
  <cp:lastModifiedBy>HiWi</cp:lastModifiedBy>
  <cp:revision>2</cp:revision>
  <dcterms:created xsi:type="dcterms:W3CDTF">2019-06-07T15:27:00Z</dcterms:created>
  <dcterms:modified xsi:type="dcterms:W3CDTF">2019-06-07T15:27:00Z</dcterms:modified>
</cp:coreProperties>
</file>