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Default="002176C0" w:rsidP="00DC69F1">
      <w:pPr>
        <w:pStyle w:val="Textkrper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i/>
          <w:caps/>
          <w:sz w:val="28"/>
          <w:szCs w:val="28"/>
        </w:rPr>
        <w:t>Germany’s Market Transparency Unit for Fuels: Fostering Collusion Or competition?</w:t>
      </w:r>
    </w:p>
    <w:p w:rsidR="00DC69F1" w:rsidRPr="00D767DA" w:rsidRDefault="002176C0" w:rsidP="00DC69F1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Marco Horvath, </w:t>
      </w:r>
      <w:r>
        <w:rPr>
          <w:sz w:val="20"/>
        </w:rPr>
        <w:t xml:space="preserve">RWI – Leibniz Institute for Economic Research, Phone: +49 </w:t>
      </w:r>
      <w:r w:rsidRPr="00AA6FB9">
        <w:rPr>
          <w:sz w:val="20"/>
        </w:rPr>
        <w:t>201</w:t>
      </w:r>
      <w:r>
        <w:rPr>
          <w:sz w:val="20"/>
        </w:rPr>
        <w:t xml:space="preserve"> 8149522, Email: marco.horvath@rwi-essen.de</w:t>
      </w:r>
    </w:p>
    <w:p w:rsidR="00DC69F1" w:rsidRPr="00476853" w:rsidRDefault="00DC69F1" w:rsidP="00DC69F1">
      <w:pPr>
        <w:pStyle w:val="berschrift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7A7219" w:rsidRDefault="0068049E" w:rsidP="0068049E">
      <w:pPr>
        <w:pStyle w:val="Textkrper2"/>
        <w:spacing w:after="200"/>
      </w:pPr>
      <w:r>
        <w:t xml:space="preserve">A large literature already </w:t>
      </w:r>
      <w:proofErr w:type="gramStart"/>
      <w:r>
        <w:t>analyse</w:t>
      </w:r>
      <w:proofErr w:type="gramEnd"/>
      <w:r>
        <w:t xml:space="preserve"> market power in the retail gasoline market. Accordingly, a</w:t>
      </w:r>
      <w:r>
        <w:t xml:space="preserve"> report </w:t>
      </w:r>
      <w:r>
        <w:t xml:space="preserve">by the Federal Cartel Office </w:t>
      </w:r>
      <w:proofErr w:type="gramStart"/>
      <w:r>
        <w:t>came</w:t>
      </w:r>
      <w:r>
        <w:t xml:space="preserve"> </w:t>
      </w:r>
      <w:r>
        <w:t>to the conclusion</w:t>
      </w:r>
      <w:proofErr w:type="gramEnd"/>
      <w:r>
        <w:t xml:space="preserve"> that the German market is dominated by five oligopolists</w:t>
      </w:r>
      <w:r>
        <w:t xml:space="preserve"> </w:t>
      </w:r>
      <w:r w:rsidRPr="0068049E">
        <w:t>(FCO, 2011)</w:t>
      </w:r>
      <w:r>
        <w:t>. Therefore, to</w:t>
      </w:r>
      <w:r w:rsidR="00697741">
        <w:t xml:space="preserve"> increase the intensity of competition and dampen prices for consumers</w:t>
      </w:r>
      <w:r w:rsidR="00697741">
        <w:t xml:space="preserve"> </w:t>
      </w:r>
      <w:r w:rsidR="00697741">
        <w:t>for retail gasoline, in 2013, the Federal Cartel Office established</w:t>
      </w:r>
      <w:r w:rsidRPr="0068049E">
        <w:t xml:space="preserve"> </w:t>
      </w:r>
      <w:r>
        <w:t>a publicly accessible, mandatory</w:t>
      </w:r>
      <w:r>
        <w:t xml:space="preserve"> </w:t>
      </w:r>
      <w:r>
        <w:t>on-line price disclosure portal for gasoline prices</w:t>
      </w:r>
      <w:r>
        <w:t>,</w:t>
      </w:r>
      <w:r w:rsidR="00697741">
        <w:t xml:space="preserve"> the</w:t>
      </w:r>
      <w:r w:rsidR="00697741">
        <w:t xml:space="preserve"> </w:t>
      </w:r>
      <w:r w:rsidR="00697741">
        <w:t xml:space="preserve">so-called Market Transparency Unit for Fuels (MTU). </w:t>
      </w:r>
      <w:bookmarkStart w:id="0" w:name="_GoBack"/>
      <w:bookmarkEnd w:id="0"/>
    </w:p>
    <w:p w:rsidR="0068049E" w:rsidRDefault="0068049E" w:rsidP="0068049E">
      <w:pPr>
        <w:pStyle w:val="Textkrper2"/>
        <w:spacing w:after="200"/>
      </w:pPr>
      <w:r>
        <w:t>However, from a theoretical perspective this outcome of the introduction of the</w:t>
      </w:r>
      <w:r>
        <w:t xml:space="preserve"> </w:t>
      </w:r>
      <w:r>
        <w:t>MTU is not trivial. Schultz (2005) derives theoretical conditions in which increased</w:t>
      </w:r>
      <w:r>
        <w:t xml:space="preserve"> </w:t>
      </w:r>
      <w:r>
        <w:t>market transparency actually might lead to less competition: On the on hand – as</w:t>
      </w:r>
      <w:r>
        <w:t xml:space="preserve"> </w:t>
      </w:r>
      <w:r>
        <w:t>desired – sustaining tacit collusion can become tougher, as the benefits of undercutting</w:t>
      </w:r>
      <w:r>
        <w:t xml:space="preserve"> </w:t>
      </w:r>
      <w:r>
        <w:t>the competitors prices increase with more market transparency, but on the other</w:t>
      </w:r>
      <w:r>
        <w:t xml:space="preserve"> </w:t>
      </w:r>
      <w:r>
        <w:t xml:space="preserve">hand in a state where tacit collusion </w:t>
      </w:r>
      <w:proofErr w:type="spellStart"/>
      <w:r>
        <w:t>persits</w:t>
      </w:r>
      <w:proofErr w:type="spellEnd"/>
      <w:r>
        <w:t>, punishment for deviating from the optimal</w:t>
      </w:r>
      <w:r>
        <w:t xml:space="preserve"> </w:t>
      </w:r>
      <w:r>
        <w:t>outcome can also be observed more easily by other oligopolists and therefore</w:t>
      </w:r>
      <w:r>
        <w:t xml:space="preserve"> </w:t>
      </w:r>
      <w:r w:rsidRPr="0068049E">
        <w:t>punished quicker and tougher.</w:t>
      </w:r>
    </w:p>
    <w:p w:rsidR="0068049E" w:rsidRDefault="0068049E" w:rsidP="0068049E">
      <w:pPr>
        <w:pStyle w:val="Textkrper2"/>
        <w:spacing w:after="200"/>
      </w:pPr>
      <w:r>
        <w:t>In the German market, a study by Frondel et al. (2018) investigates whether the introduction</w:t>
      </w:r>
      <w:r>
        <w:t xml:space="preserve"> </w:t>
      </w:r>
      <w:r>
        <w:t xml:space="preserve">of the MTU has changed price cycles in the German gasoline market. </w:t>
      </w:r>
      <w:r>
        <w:t>The authors</w:t>
      </w:r>
      <w:r>
        <w:t xml:space="preserve"> find that before the introduction of the price portal German gasoline price</w:t>
      </w:r>
      <w:r>
        <w:t xml:space="preserve"> </w:t>
      </w:r>
      <w:r>
        <w:t>exhibited the classic “rockets and feathers”-pattern, while in the aftermath of the introduction</w:t>
      </w:r>
      <w:r>
        <w:t xml:space="preserve"> </w:t>
      </w:r>
      <w:r>
        <w:t>this was not the case anymore. The study concludes that this reverse in</w:t>
      </w:r>
      <w:r>
        <w:t xml:space="preserve"> </w:t>
      </w:r>
      <w:r>
        <w:t>the price pattern resulted in stronger competition between German gasoline stations</w:t>
      </w:r>
      <w:r>
        <w:t xml:space="preserve"> </w:t>
      </w:r>
      <w:r>
        <w:t>and therefore price savings for consumers.</w:t>
      </w:r>
    </w:p>
    <w:p w:rsidR="0068049E" w:rsidRDefault="0068049E" w:rsidP="0068049E">
      <w:pPr>
        <w:pStyle w:val="Textkrper2"/>
        <w:spacing w:after="200"/>
      </w:pPr>
      <w:r>
        <w:t>While the study by Frondel et al. (2018) is rather long-term orientated the present</w:t>
      </w:r>
      <w:r>
        <w:t xml:space="preserve"> </w:t>
      </w:r>
      <w:r>
        <w:t>analysis investigates immediate price and price margin changes of German gas station</w:t>
      </w:r>
      <w:r>
        <w:t xml:space="preserve"> </w:t>
      </w:r>
      <w:r>
        <w:t>following the introduction of the MTU. To this end, we use a fixed effects regression</w:t>
      </w:r>
      <w:r>
        <w:t xml:space="preserve"> </w:t>
      </w:r>
      <w:r>
        <w:t xml:space="preserve">to </w:t>
      </w:r>
      <w:proofErr w:type="spellStart"/>
      <w:r>
        <w:t>analyze</w:t>
      </w:r>
      <w:proofErr w:type="spellEnd"/>
      <w:r>
        <w:t xml:space="preserve"> these changes. In addition, a Difference-in-Difference approach is</w:t>
      </w:r>
      <w:r>
        <w:t xml:space="preserve"> </w:t>
      </w:r>
      <w:r>
        <w:t>used as a robustness check.</w:t>
      </w: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E550EE" w:rsidRDefault="0068049E" w:rsidP="00E550EE">
      <w:pPr>
        <w:pStyle w:val="Textkrper2"/>
        <w:spacing w:after="200"/>
      </w:pPr>
      <w:r>
        <w:t>In this analysis we use data on gasoline prices and the wholesale price of refined fuel out of Rotterdam, where the major</w:t>
      </w:r>
      <w:r>
        <w:t xml:space="preserve"> </w:t>
      </w:r>
      <w:r>
        <w:t>pipelines into Germany originates.</w:t>
      </w:r>
      <w:r>
        <w:t xml:space="preserve"> </w:t>
      </w:r>
      <w:r w:rsidR="00E550EE">
        <w:t>W</w:t>
      </w:r>
      <w:r w:rsidR="00E550EE">
        <w:t>e use two different sources for the gasoline prices.</w:t>
      </w:r>
      <w:r w:rsidR="00E550EE">
        <w:t xml:space="preserve"> On the one hand, the official MTU data, which records all posted prices from the whole set of German gasoline stations, starting in a beta phase from September 25</w:t>
      </w:r>
      <w:r w:rsidR="00E550EE" w:rsidRPr="00E550EE">
        <w:rPr>
          <w:vertAlign w:val="superscript"/>
        </w:rPr>
        <w:t>th</w:t>
      </w:r>
      <w:proofErr w:type="gramStart"/>
      <w:r w:rsidR="00E550EE">
        <w:t xml:space="preserve"> 2013</w:t>
      </w:r>
      <w:proofErr w:type="gramEnd"/>
      <w:r w:rsidR="00E550EE">
        <w:t xml:space="preserve"> onwards on top of </w:t>
      </w:r>
      <w:r w:rsidR="00E550EE">
        <w:t>a number of station specific characteristics, such as</w:t>
      </w:r>
      <w:r w:rsidR="00E550EE">
        <w:t xml:space="preserve"> </w:t>
      </w:r>
      <w:r w:rsidR="00E550EE">
        <w:t>the brand of the station, its geographical coordinates, and opening hours.</w:t>
      </w:r>
      <w:r w:rsidR="00E550EE">
        <w:t xml:space="preserve"> </w:t>
      </w:r>
      <w:r w:rsidR="00E550EE">
        <w:t>To pursue our aim of comparing how prices changed for individual stations before</w:t>
      </w:r>
      <w:r w:rsidR="00E550EE">
        <w:t xml:space="preserve"> </w:t>
      </w:r>
      <w:r w:rsidR="00E550EE">
        <w:t>and after the introduction of the MTU, we additionally draw on another data set that</w:t>
      </w:r>
      <w:r w:rsidR="00E550EE">
        <w:t xml:space="preserve"> </w:t>
      </w:r>
      <w:r w:rsidR="00E550EE">
        <w:t xml:space="preserve">was assembled by </w:t>
      </w:r>
      <w:proofErr w:type="spellStart"/>
      <w:r w:rsidR="00E550EE">
        <w:t>Kihm</w:t>
      </w:r>
      <w:proofErr w:type="spellEnd"/>
      <w:r w:rsidR="00E550EE">
        <w:t xml:space="preserve"> et al. (2016) covering a time-span before the introduction of</w:t>
      </w:r>
      <w:r w:rsidR="00E550EE">
        <w:t xml:space="preserve"> </w:t>
      </w:r>
      <w:r w:rsidR="00E550EE">
        <w:t>the MTU. This data set comprises retail fuel prices retrieved from the sitewww.clevertanken.de, which is currently one of a handful of sites in Germany that publishes real</w:t>
      </w:r>
      <w:r w:rsidR="00E550EE">
        <w:t xml:space="preserve"> </w:t>
      </w:r>
      <w:r w:rsidR="00E550EE">
        <w:t>time data from the MTU.</w:t>
      </w:r>
    </w:p>
    <w:p w:rsidR="00D95A3D" w:rsidRDefault="00E550EE" w:rsidP="00F51086">
      <w:pPr>
        <w:pStyle w:val="Textkrper2"/>
        <w:spacing w:after="200"/>
      </w:pPr>
      <w:r>
        <w:t>Finally, we merge the two data sets using the stations’ locations and brands. In this</w:t>
      </w:r>
      <w:r>
        <w:t xml:space="preserve"> </w:t>
      </w:r>
      <w:r>
        <w:t xml:space="preserve">regard we append the MTU data from September 25th, 2013 onwards on the </w:t>
      </w:r>
      <w:proofErr w:type="spellStart"/>
      <w:r>
        <w:t>Clevertanken</w:t>
      </w:r>
      <w:proofErr w:type="spellEnd"/>
      <w:r>
        <w:t xml:space="preserve"> </w:t>
      </w:r>
      <w:r>
        <w:t>data. In line with Frondel et al. (2018) we ensure that we have an identical set</w:t>
      </w:r>
      <w:r>
        <w:t xml:space="preserve"> </w:t>
      </w:r>
      <w:r>
        <w:t>of stations before and after the introduction of the MTU.</w:t>
      </w:r>
      <w:r w:rsidR="00F51086">
        <w:t xml:space="preserve"> </w:t>
      </w:r>
      <w:r w:rsidRPr="00E550EE">
        <w:t>The final data set consists of 1,620,637 observations of 6,384 stations.</w:t>
      </w:r>
    </w:p>
    <w:p w:rsidR="00E550EE" w:rsidRDefault="00E550EE" w:rsidP="00E550EE">
      <w:pPr>
        <w:pStyle w:val="Textkrper2"/>
        <w:spacing w:after="200"/>
      </w:pPr>
      <w:r>
        <w:t>The main variables of interest are the fuel price net of taxes and the margin of each</w:t>
      </w:r>
      <w:r>
        <w:t xml:space="preserve"> </w:t>
      </w:r>
      <w:r>
        <w:t>station.</w:t>
      </w:r>
      <w:r>
        <w:t xml:space="preserve"> </w:t>
      </w:r>
      <w:r>
        <w:t>For the calculation of the price margins, we subtract the Rotterdam refined gasoline</w:t>
      </w:r>
      <w:r>
        <w:t xml:space="preserve"> </w:t>
      </w:r>
      <w:r>
        <w:t>import price, which is the main input factor to retail gasoline, from the daily average</w:t>
      </w:r>
      <w:r>
        <w:t xml:space="preserve"> </w:t>
      </w:r>
      <w:r>
        <w:t>prices of each gasoline station in Germany</w:t>
      </w:r>
      <w:r>
        <w:t>. In addition, a</w:t>
      </w:r>
      <w:r>
        <w:t>s a robustness check, we use more aggregate data from 19 EU countries, using</w:t>
      </w:r>
      <w:r>
        <w:t xml:space="preserve"> </w:t>
      </w:r>
      <w:r>
        <w:t>the Weekly Oil Bulletin provided by the European Commission.</w:t>
      </w:r>
      <w:r w:rsidR="0069259C">
        <w:t xml:space="preserve"> In both data sets we restrict use a time period from 2012 until 2014.</w:t>
      </w:r>
    </w:p>
    <w:p w:rsidR="00E550EE" w:rsidRDefault="00E550EE" w:rsidP="00D95A3D">
      <w:pPr>
        <w:pStyle w:val="Textkrper2"/>
        <w:spacing w:after="200"/>
      </w:pPr>
      <w:r>
        <w:t xml:space="preserve">In the baseline regression we use a simple fixed effects approach identifying a before-after MTU comparison using a dummy. Subsequently, in order to check how the MTU-effect evolves over time we replace </w:t>
      </w:r>
      <w:r w:rsidR="00F51086">
        <w:t>this</w:t>
      </w:r>
      <w:r>
        <w:t xml:space="preserve"> with indicators </w:t>
      </w:r>
      <w:r>
        <w:lastRenderedPageBreak/>
        <w:t>for dates after the introduction of the MTU. In both cases we include station specific fixed effects as well as standard errors, which are clustered on the station level.</w:t>
      </w:r>
    </w:p>
    <w:p w:rsidR="00E550EE" w:rsidRDefault="0069259C" w:rsidP="00D95A3D">
      <w:pPr>
        <w:pStyle w:val="Textkrper2"/>
        <w:spacing w:after="200"/>
        <w:rPr>
          <w:highlight w:val="yellow"/>
        </w:rPr>
      </w:pPr>
      <w:r>
        <w:t>Finally, in order to check the causality of our</w:t>
      </w:r>
      <w:r>
        <w:t xml:space="preserve"> results,</w:t>
      </w:r>
      <w:r>
        <w:t xml:space="preserve"> we use the EU weekly data </w:t>
      </w:r>
      <w:r>
        <w:t>result</w:t>
      </w:r>
      <w:r>
        <w:t xml:space="preserve"> to estimate a Difference-in-Difference-Regression. Here we compare the treatment country Germany with a group of 18</w:t>
      </w:r>
      <w:r>
        <w:t xml:space="preserve"> </w:t>
      </w:r>
      <w:r>
        <w:t>other European countries in order to causally estimate the effect of the MTU introduction</w:t>
      </w:r>
      <w:r>
        <w:t xml:space="preserve"> </w:t>
      </w:r>
      <w:r>
        <w:t>on price margins in Germany.</w:t>
      </w:r>
      <w:r>
        <w:t xml:space="preserve"> </w:t>
      </w:r>
    </w:p>
    <w:p w:rsidR="00DC69F1" w:rsidRPr="00D767DA" w:rsidRDefault="00DC69F1" w:rsidP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DA115C" w:rsidRDefault="00DA115C" w:rsidP="00DA115C">
      <w:pPr>
        <w:pStyle w:val="Textkrper2"/>
        <w:spacing w:after="200"/>
      </w:pPr>
      <w:r>
        <w:t>Already the first baseline fixed effects</w:t>
      </w:r>
      <w:r>
        <w:t xml:space="preserve"> estimation</w:t>
      </w:r>
      <w:r>
        <w:t xml:space="preserve"> gives</w:t>
      </w:r>
      <w:r>
        <w:t xml:space="preserve"> a first indication that the price margins have decreased with the introduction</w:t>
      </w:r>
      <w:r>
        <w:t xml:space="preserve"> </w:t>
      </w:r>
      <w:r>
        <w:t xml:space="preserve">of the MTU. </w:t>
      </w:r>
      <w:r>
        <w:t>The specifications</w:t>
      </w:r>
      <w:r>
        <w:t xml:space="preserve"> exhibit a reduction of price margins of German gasoline</w:t>
      </w:r>
      <w:r>
        <w:t xml:space="preserve"> </w:t>
      </w:r>
      <w:r>
        <w:t xml:space="preserve">station of round about 2 cents per </w:t>
      </w:r>
      <w:proofErr w:type="spellStart"/>
      <w:r>
        <w:t>liter</w:t>
      </w:r>
      <w:proofErr w:type="spellEnd"/>
      <w:r>
        <w:t>. Considering that the mean of the price</w:t>
      </w:r>
      <w:r>
        <w:t xml:space="preserve"> </w:t>
      </w:r>
      <w:r>
        <w:t xml:space="preserve">margins is at about 8.7 cents per </w:t>
      </w:r>
      <w:proofErr w:type="spellStart"/>
      <w:r>
        <w:t>liter</w:t>
      </w:r>
      <w:proofErr w:type="spellEnd"/>
      <w:r>
        <w:t xml:space="preserve"> this is a rather high effect of about 20%.</w:t>
      </w:r>
      <w:r>
        <w:t xml:space="preserve"> </w:t>
      </w:r>
      <w:r>
        <w:t>Additionally,</w:t>
      </w:r>
      <w:r>
        <w:t xml:space="preserve"> </w:t>
      </w:r>
      <w:r>
        <w:t>we find a negative effect of increases in the Brent price on price margins,</w:t>
      </w:r>
      <w:r>
        <w:t xml:space="preserve"> </w:t>
      </w:r>
      <w:r>
        <w:t>which suggests that with higher input prices firms cannot pass on the total input price</w:t>
      </w:r>
      <w:r>
        <w:t xml:space="preserve"> </w:t>
      </w:r>
      <w:r>
        <w:t>increases but only a share.</w:t>
      </w:r>
    </w:p>
    <w:p w:rsidR="00DA115C" w:rsidRDefault="00DA115C" w:rsidP="00DA115C">
      <w:pPr>
        <w:pStyle w:val="Textkrper2"/>
        <w:spacing w:after="200"/>
      </w:pPr>
      <w:r>
        <w:t xml:space="preserve">With the second specification we can look how price margins reacted over time to the introduction of the MTU. </w:t>
      </w:r>
      <w:r>
        <w:t>It seems as at the beginning of the beta phase of the MTU, price</w:t>
      </w:r>
      <w:r>
        <w:t xml:space="preserve"> </w:t>
      </w:r>
      <w:r>
        <w:t>margins were still around 0 and then subsequently slightly lower than before. Larger</w:t>
      </w:r>
      <w:r>
        <w:t xml:space="preserve"> </w:t>
      </w:r>
      <w:r>
        <w:t xml:space="preserve">decreases happened </w:t>
      </w:r>
      <w:proofErr w:type="gramStart"/>
      <w:r>
        <w:t>later on</w:t>
      </w:r>
      <w:proofErr w:type="gramEnd"/>
      <w:r>
        <w:t xml:space="preserve"> with the official launch of the MTU in December. This</w:t>
      </w:r>
      <w:r>
        <w:t xml:space="preserve"> </w:t>
      </w:r>
      <w:r>
        <w:t>could be connected to consumers needing some time to learn about the availability of</w:t>
      </w:r>
      <w:r>
        <w:t xml:space="preserve"> </w:t>
      </w:r>
      <w:r>
        <w:t>the MTU and potential greater press exposure after the official launch.</w:t>
      </w:r>
    </w:p>
    <w:p w:rsidR="00DA115C" w:rsidRDefault="00DA115C" w:rsidP="00DA115C">
      <w:pPr>
        <w:pStyle w:val="Textkrper2"/>
        <w:spacing w:after="200"/>
      </w:pPr>
      <w:r>
        <w:t>As a final check, we use the Difference-in-Difference approach</w:t>
      </w:r>
      <w:r>
        <w:t xml:space="preserve"> with the EU weekly gasoline date</w:t>
      </w:r>
      <w:r w:rsidR="00F51086">
        <w:t>, which</w:t>
      </w:r>
      <w:r>
        <w:t xml:space="preserve"> also supports the previous results of a negative effect of the introduction</w:t>
      </w:r>
      <w:r>
        <w:t xml:space="preserve"> </w:t>
      </w:r>
      <w:r>
        <w:t>of the MTU on price margins in Germany. In this specification the treatment</w:t>
      </w:r>
      <w:r>
        <w:t xml:space="preserve"> </w:t>
      </w:r>
      <w:r>
        <w:t xml:space="preserve">effect is slightly smaller than before at around 1 cent per </w:t>
      </w:r>
      <w:proofErr w:type="spellStart"/>
      <w:r>
        <w:t>liter</w:t>
      </w:r>
      <w:proofErr w:type="spellEnd"/>
      <w:r>
        <w:t>, but still highly significant.</w:t>
      </w:r>
      <w:r>
        <w:t xml:space="preserve"> </w:t>
      </w:r>
      <w:proofErr w:type="gramStart"/>
      <w:r w:rsidR="00F51086">
        <w:t>Furthermore</w:t>
      </w:r>
      <w:proofErr w:type="gramEnd"/>
      <w:r w:rsidR="00F51086">
        <w:t xml:space="preserve"> it seems</w:t>
      </w:r>
      <w:r>
        <w:t xml:space="preserve"> that price margins in general over all countries</w:t>
      </w:r>
      <w:r>
        <w:t xml:space="preserve"> </w:t>
      </w:r>
      <w:r>
        <w:t>seem to have fallen in the period after the introduction of the MTU</w:t>
      </w:r>
      <w:r w:rsidR="00F51086">
        <w:t>, but in Germany stronger than in other countries.</w:t>
      </w:r>
    </w:p>
    <w:p w:rsidR="00DA115C" w:rsidRDefault="00DA115C" w:rsidP="00DA115C">
      <w:pPr>
        <w:pStyle w:val="Textkrper2"/>
        <w:spacing w:after="200"/>
        <w:rPr>
          <w:highlight w:val="yellow"/>
        </w:rPr>
      </w:pPr>
      <w:r>
        <w:t>Overall, the MTU seems to have achieved its purpose set by the Federal Cartel</w:t>
      </w:r>
      <w:r>
        <w:t xml:space="preserve"> </w:t>
      </w:r>
      <w:r>
        <w:t>Office to increase competition and thereby decreasing stations’ margins and consequently</w:t>
      </w:r>
      <w:r>
        <w:t xml:space="preserve"> </w:t>
      </w:r>
      <w:r>
        <w:t>also consumer prices. Turning to the economic significance of the results we</w:t>
      </w:r>
      <w:r>
        <w:t xml:space="preserve"> </w:t>
      </w:r>
      <w:proofErr w:type="gramStart"/>
      <w:r>
        <w:t>have to</w:t>
      </w:r>
      <w:proofErr w:type="gramEnd"/>
      <w:r>
        <w:t xml:space="preserve"> point out that the magnitude of the reduction remains small. </w:t>
      </w:r>
      <w:r w:rsidR="00F51086">
        <w:t>For an average consumer the savings c</w:t>
      </w:r>
      <w:r>
        <w:t xml:space="preserve">alculated over a month </w:t>
      </w:r>
      <w:r w:rsidR="00F51086">
        <w:t>amount</w:t>
      </w:r>
      <w:r>
        <w:t xml:space="preserve"> to </w:t>
      </w:r>
      <w:proofErr w:type="spellStart"/>
      <w:r w:rsidR="00F51086">
        <w:t>to</w:t>
      </w:r>
      <w:proofErr w:type="spellEnd"/>
      <w:r w:rsidR="00F51086">
        <w:t xml:space="preserve"> between </w:t>
      </w:r>
      <w:r>
        <w:t>1.80 Euro and 3.60 Euro, which is not an economically significant amount.</w:t>
      </w:r>
    </w:p>
    <w:p w:rsidR="00DC69F1" w:rsidRPr="00D767DA" w:rsidRDefault="00DC69F1">
      <w:pPr>
        <w:pStyle w:val="berschrift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F51086" w:rsidRDefault="00F51086" w:rsidP="00F51086">
      <w:pPr>
        <w:pStyle w:val="Textkrper2"/>
        <w:spacing w:after="200"/>
      </w:pPr>
      <w:r>
        <w:t>Over the different specifications we consistently find a negative effect of the MTU</w:t>
      </w:r>
      <w:r>
        <w:t xml:space="preserve"> </w:t>
      </w:r>
      <w:r>
        <w:t xml:space="preserve">on price margins, accounting for a reduction for 1 to 2 </w:t>
      </w:r>
      <w:proofErr w:type="gramStart"/>
      <w:r>
        <w:t>cent</w:t>
      </w:r>
      <w:proofErr w:type="gramEnd"/>
      <w:r>
        <w:t xml:space="preserve"> per </w:t>
      </w:r>
      <w:proofErr w:type="spellStart"/>
      <w:r>
        <w:t>liter</w:t>
      </w:r>
      <w:proofErr w:type="spellEnd"/>
      <w:r>
        <w:t>. In terms of the</w:t>
      </w:r>
      <w:r>
        <w:t xml:space="preserve"> </w:t>
      </w:r>
      <w:r>
        <w:t>stations’ margins this a rather high effect of about 20 to 25% as the average price margin</w:t>
      </w:r>
      <w:r>
        <w:t xml:space="preserve"> </w:t>
      </w:r>
      <w:r>
        <w:t xml:space="preserve">was at around 8.7 cents per </w:t>
      </w:r>
      <w:proofErr w:type="spellStart"/>
      <w:r>
        <w:t>liter</w:t>
      </w:r>
      <w:proofErr w:type="spellEnd"/>
      <w:r>
        <w:t xml:space="preserve"> during our observed price period.</w:t>
      </w:r>
    </w:p>
    <w:p w:rsidR="00F51086" w:rsidRDefault="00F51086" w:rsidP="00F51086">
      <w:pPr>
        <w:pStyle w:val="Textkrper2"/>
        <w:spacing w:after="200"/>
        <w:rPr>
          <w:highlight w:val="yellow"/>
        </w:rPr>
      </w:pPr>
      <w:r>
        <w:t>Overall, we can confirm the result of Frondel et al. (2018) that the introduction of</w:t>
      </w:r>
      <w:r>
        <w:t xml:space="preserve"> </w:t>
      </w:r>
      <w:r>
        <w:t>the MTU induced welfare gains for consumers by reducing market power of gasoline</w:t>
      </w:r>
      <w:r>
        <w:t xml:space="preserve"> </w:t>
      </w:r>
      <w:r>
        <w:t xml:space="preserve">stations. That said, we </w:t>
      </w:r>
      <w:proofErr w:type="gramStart"/>
      <w:r>
        <w:t>have to</w:t>
      </w:r>
      <w:proofErr w:type="gramEnd"/>
      <w:r>
        <w:t xml:space="preserve"> point out that the reduction in price margins and</w:t>
      </w:r>
      <w:r>
        <w:t xml:space="preserve"> </w:t>
      </w:r>
      <w:r>
        <w:t>prices of gasoline stations were rather small and therefore probably for the average</w:t>
      </w:r>
      <w:r>
        <w:t xml:space="preserve"> </w:t>
      </w:r>
      <w:r>
        <w:t>consumer of low economic significance.</w:t>
      </w: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68049E" w:rsidRDefault="0068049E" w:rsidP="0068049E">
      <w:pPr>
        <w:pStyle w:val="Textkrper2"/>
        <w:spacing w:after="200"/>
      </w:pPr>
      <w:r>
        <w:t xml:space="preserve">FCO (2011). Fuel Sector Inquiry - Final Report. Bonn, May 2011. Available at: </w:t>
      </w:r>
      <w:hyperlink r:id="rId7" w:history="1">
        <w:r w:rsidRPr="00944F12">
          <w:rPr>
            <w:rStyle w:val="Hyperlink"/>
          </w:rPr>
          <w:t>http://www.bundeskartellamt.de/SharedDocs/Publikation/EN/Sector%20Inquiries/Fuel%20Sector%20Inquiry%20-%20Final%20Report.html?nn=4143316</w:t>
        </w:r>
      </w:hyperlink>
    </w:p>
    <w:p w:rsidR="0068049E" w:rsidRDefault="0068049E" w:rsidP="0068049E">
      <w:pPr>
        <w:pStyle w:val="Textkrper2"/>
        <w:spacing w:after="200"/>
      </w:pPr>
      <w:r>
        <w:t xml:space="preserve">Frondel, M., Horvath, M., Vance, C., and </w:t>
      </w:r>
      <w:proofErr w:type="spellStart"/>
      <w:r>
        <w:t>Kihm</w:t>
      </w:r>
      <w:proofErr w:type="spellEnd"/>
      <w:r>
        <w:t>, A. (2018). Increased Market Transparency</w:t>
      </w:r>
      <w:r>
        <w:t xml:space="preserve"> </w:t>
      </w:r>
      <w:r>
        <w:t>in Germany’s Gasoline Market: The Death of Rockets and Feathers? SFB</w:t>
      </w:r>
      <w:r>
        <w:t xml:space="preserve"> </w:t>
      </w:r>
      <w:r>
        <w:t>Discussion Paper Nr. 31/2018.</w:t>
      </w:r>
    </w:p>
    <w:p w:rsidR="00F51086" w:rsidRDefault="00F51086" w:rsidP="00F51086">
      <w:pPr>
        <w:pStyle w:val="Textkrper2"/>
        <w:spacing w:after="200"/>
      </w:pPr>
      <w:proofErr w:type="spellStart"/>
      <w:r>
        <w:t>Kihm</w:t>
      </w:r>
      <w:proofErr w:type="spellEnd"/>
      <w:r>
        <w:t>, A., Ritter, N., and Vance, C. (2016). Is the German Retail Gasoline Market competitive?</w:t>
      </w:r>
      <w:r>
        <w:t xml:space="preserve"> </w:t>
      </w:r>
      <w:r>
        <w:t>A spatial-temporal Analysis using Quantile Regression. Land Economics,</w:t>
      </w:r>
      <w:r>
        <w:t xml:space="preserve"> </w:t>
      </w:r>
      <w:r>
        <w:t>92(4):718–736.</w:t>
      </w:r>
    </w:p>
    <w:p w:rsidR="00DC69F1" w:rsidRDefault="0068049E" w:rsidP="00F51086">
      <w:pPr>
        <w:pStyle w:val="Textkrper2"/>
        <w:spacing w:after="200"/>
      </w:pPr>
      <w:r>
        <w:t>Schultz, C. (2005). Transparency on the consumer side and tacit collusion. European</w:t>
      </w:r>
      <w:r>
        <w:t xml:space="preserve"> </w:t>
      </w:r>
      <w:r>
        <w:t>Economic Review, 49(2):279–297.</w:t>
      </w:r>
    </w:p>
    <w:sectPr w:rsidR="00DC69F1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32" w:rsidRDefault="00B33A32">
      <w:r>
        <w:separator/>
      </w:r>
    </w:p>
  </w:endnote>
  <w:endnote w:type="continuationSeparator" w:id="0">
    <w:p w:rsidR="00B33A32" w:rsidRDefault="00B3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32" w:rsidRDefault="00B33A32">
      <w:r>
        <w:separator/>
      </w:r>
    </w:p>
  </w:footnote>
  <w:footnote w:type="continuationSeparator" w:id="0">
    <w:p w:rsidR="00B33A32" w:rsidRDefault="00B3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FFF89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0B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2B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41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AF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4CA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E1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05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4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0E7047B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8A5C7D7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46A203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74EA7A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1C8B2F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31CC98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03A3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916482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064C5F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7A2A1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AB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A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E4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E4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7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EA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6A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7AC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22D0F01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B32940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5814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1E93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7A47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2AF3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240B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D4F2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EE0A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9DFA1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C24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41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82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6F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C2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16C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AA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0B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C3C053B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331C1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E9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A45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86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ED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0C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84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09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E36C6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CA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1CD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8A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40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08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6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0F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1AB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7FD24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65C8E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FEC6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DC41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7A20A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AA8D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5A4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D9AD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8ECC4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A8320B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8AEED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EF2B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9325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F04D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58C1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A822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0E39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4468D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BB24F9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A47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9D01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BAEB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48C5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57A4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06C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BA8B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DCCD5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66F41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8A7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44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46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2D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629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E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07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004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306C149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3F203D3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0AC3FC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F923FD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53095D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40AC79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83830C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0C451E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ED633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79D670B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8B0A47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91DE7E5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589E054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8812B0B6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EBA82D4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110BD1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AEC0963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7BE6B402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448C2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25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22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8B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0F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603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4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E9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BA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E5405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A4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0C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AC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4D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3CC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E2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988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BDF296D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D06BE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E9EBA6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B90C9E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EE2E5E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992DC2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4668AB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ADE0F4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C8C9B2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86980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83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664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C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A5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70C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89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48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9EB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2176C0"/>
    <w:rsid w:val="0039140A"/>
    <w:rsid w:val="0047543A"/>
    <w:rsid w:val="004A675F"/>
    <w:rsid w:val="004C048E"/>
    <w:rsid w:val="005A5112"/>
    <w:rsid w:val="0068049E"/>
    <w:rsid w:val="0069259C"/>
    <w:rsid w:val="00697741"/>
    <w:rsid w:val="00736717"/>
    <w:rsid w:val="007A7219"/>
    <w:rsid w:val="008674F6"/>
    <w:rsid w:val="009306A1"/>
    <w:rsid w:val="009B581D"/>
    <w:rsid w:val="00A96D21"/>
    <w:rsid w:val="00B02B7D"/>
    <w:rsid w:val="00B33A32"/>
    <w:rsid w:val="00CA0507"/>
    <w:rsid w:val="00D351D8"/>
    <w:rsid w:val="00D95A3D"/>
    <w:rsid w:val="00DA115C"/>
    <w:rsid w:val="00DC69F1"/>
    <w:rsid w:val="00E046B2"/>
    <w:rsid w:val="00E550EE"/>
    <w:rsid w:val="00E9636B"/>
    <w:rsid w:val="00EE5954"/>
    <w:rsid w:val="00F344CF"/>
    <w:rsid w:val="00F51086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5839C"/>
  <w15:docId w15:val="{5746BDD5-B851-4AE1-9A86-B6490A1B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ndeskartellamt.de/SharedDocs/Publikation/EN/Sector%20Inquiries/Fuel%20Sector%20Inquiry%20-%20Final%20Report.html?nn=4143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7437</Characters>
  <Application>Microsoft Office Word</Application>
  <DocSecurity>0</DocSecurity>
  <Lines>61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Horvath, Marco</cp:lastModifiedBy>
  <cp:revision>4</cp:revision>
  <cp:lastPrinted>2012-01-19T09:58:00Z</cp:lastPrinted>
  <dcterms:created xsi:type="dcterms:W3CDTF">2019-03-15T14:43:00Z</dcterms:created>
  <dcterms:modified xsi:type="dcterms:W3CDTF">2019-03-15T16:48:00Z</dcterms:modified>
</cp:coreProperties>
</file>