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2135F" w14:textId="77777777" w:rsidR="001826C6" w:rsidRDefault="001826C6" w:rsidP="001826C6">
      <w:pPr>
        <w:framePr w:w="9637" w:h="1891" w:hRule="exact" w:hSpace="187" w:wrap="auto" w:vAnchor="page" w:hAnchor="page" w:x="1416" w:y="894"/>
        <w:jc w:val="center"/>
      </w:pPr>
      <w:r>
        <w:t xml:space="preserve">       </w:t>
      </w:r>
      <w:r>
        <w:tab/>
      </w:r>
      <w:r>
        <w:tab/>
      </w:r>
      <w:r>
        <w:tab/>
      </w:r>
      <w:r>
        <w:tab/>
      </w:r>
      <w:r>
        <w:tab/>
      </w:r>
      <w:r>
        <w:tab/>
      </w:r>
      <w:r>
        <w:tab/>
      </w:r>
      <w:r>
        <w:tab/>
      </w:r>
      <w:r>
        <w:tab/>
        <w:t xml:space="preserve">                                                 </w:t>
      </w:r>
      <w:r>
        <w:tab/>
      </w:r>
    </w:p>
    <w:p w14:paraId="4C7DE3CD" w14:textId="77777777" w:rsidR="001826C6" w:rsidRPr="007B5554" w:rsidRDefault="001826C6" w:rsidP="001826C6">
      <w:pPr>
        <w:pStyle w:val="BodyText2"/>
        <w:framePr w:w="9637" w:h="1891" w:hRule="exact" w:hSpace="187" w:wrap="auto" w:vAnchor="page" w:hAnchor="page" w:x="1416" w:y="894"/>
        <w:spacing w:after="200"/>
        <w:ind w:firstLine="0"/>
        <w:rPr>
          <w:b/>
          <w:i/>
          <w:sz w:val="28"/>
          <w:szCs w:val="28"/>
        </w:rPr>
      </w:pPr>
      <w:r w:rsidRPr="007B5554">
        <w:rPr>
          <w:b/>
          <w:i/>
          <w:sz w:val="28"/>
          <w:szCs w:val="28"/>
        </w:rPr>
        <w:t>VEHICLE TAX DESIGN AND CAR PURCHASE CHOICES: A CASE STUDY OF IRELAND</w:t>
      </w:r>
    </w:p>
    <w:p w14:paraId="14990378" w14:textId="77777777" w:rsidR="001826C6" w:rsidRPr="00CE16C5" w:rsidRDefault="001826C6" w:rsidP="001826C6">
      <w:pPr>
        <w:pStyle w:val="BodyText"/>
        <w:framePr w:w="9637" w:h="1891" w:hRule="exact" w:hSpace="187" w:wrap="auto" w:vAnchor="page" w:hAnchor="page" w:x="1416" w:y="894"/>
        <w:jc w:val="right"/>
        <w:rPr>
          <w:sz w:val="20"/>
        </w:rPr>
      </w:pPr>
      <w:r>
        <w:rPr>
          <w:sz w:val="20"/>
        </w:rPr>
        <w:t xml:space="preserve">Ivan Petrov, University College Dublin, 00353861277056, </w:t>
      </w:r>
      <w:hyperlink r:id="rId8" w:history="1">
        <w:r w:rsidRPr="00CE16C5">
          <w:rPr>
            <w:rStyle w:val="Hyperlink"/>
            <w:sz w:val="20"/>
          </w:rPr>
          <w:t>ivan.petrov@ucdconnect.ie</w:t>
        </w:r>
      </w:hyperlink>
    </w:p>
    <w:p w14:paraId="6718A936" w14:textId="63C696AA" w:rsidR="001826C6" w:rsidRDefault="001826C6" w:rsidP="001826C6">
      <w:pPr>
        <w:pStyle w:val="BodyText"/>
        <w:framePr w:w="9637" w:h="1891" w:hRule="exact" w:hSpace="187" w:wrap="auto" w:vAnchor="page" w:hAnchor="page" w:x="1416" w:y="894"/>
        <w:jc w:val="right"/>
      </w:pPr>
      <w:r>
        <w:rPr>
          <w:sz w:val="20"/>
        </w:rPr>
        <w:t xml:space="preserve">Lisa Ryan, University College Dublin, 0035317168212, </w:t>
      </w:r>
      <w:hyperlink r:id="rId9" w:history="1">
        <w:r w:rsidRPr="00CE16C5">
          <w:rPr>
            <w:rStyle w:val="Hyperlink"/>
            <w:sz w:val="20"/>
          </w:rPr>
          <w:t>lisa.ryan@ucd.ie</w:t>
        </w:r>
      </w:hyperlink>
    </w:p>
    <w:p w14:paraId="38207A59" w14:textId="77777777" w:rsidR="001826C6" w:rsidRDefault="001826C6" w:rsidP="001826C6">
      <w:pPr>
        <w:pStyle w:val="BodyText"/>
        <w:framePr w:w="9637" w:h="1891" w:hRule="exact" w:hSpace="187" w:wrap="auto" w:vAnchor="page" w:hAnchor="page" w:x="1416" w:y="894"/>
        <w:jc w:val="right"/>
        <w:rPr>
          <w:sz w:val="20"/>
        </w:rPr>
      </w:pPr>
      <w:r>
        <w:rPr>
          <w:sz w:val="20"/>
        </w:rPr>
        <w:t xml:space="preserve"> </w:t>
      </w:r>
    </w:p>
    <w:p w14:paraId="51027A3A" w14:textId="77777777" w:rsidR="001826C6" w:rsidRDefault="001826C6" w:rsidP="001826C6">
      <w:pPr>
        <w:pStyle w:val="BodyText"/>
        <w:framePr w:w="9637" w:h="1891" w:hRule="exact" w:hSpace="187" w:wrap="auto" w:vAnchor="page" w:hAnchor="page" w:x="1416" w:y="894"/>
        <w:jc w:val="right"/>
      </w:pPr>
      <w:r>
        <w:t xml:space="preserve"> </w:t>
      </w:r>
    </w:p>
    <w:p w14:paraId="3A9D498C" w14:textId="7C95E1E4" w:rsidR="00DC69F1" w:rsidRDefault="00DC69F1" w:rsidP="00632046">
      <w:pPr>
        <w:pStyle w:val="Heading2"/>
        <w:rPr>
          <w:i w:val="0"/>
          <w:sz w:val="24"/>
          <w:szCs w:val="24"/>
        </w:rPr>
      </w:pPr>
      <w:r w:rsidRPr="00476853">
        <w:rPr>
          <w:i w:val="0"/>
          <w:sz w:val="24"/>
          <w:szCs w:val="24"/>
        </w:rPr>
        <w:t>Overview</w:t>
      </w:r>
    </w:p>
    <w:p w14:paraId="0B13F257" w14:textId="39078F13" w:rsidR="001826C6" w:rsidRDefault="007B5554" w:rsidP="007B5554">
      <w:pPr>
        <w:rPr>
          <w:lang w:val="en-IE"/>
        </w:rPr>
      </w:pPr>
      <w:r w:rsidRPr="00172B00">
        <w:rPr>
          <w:lang w:val="en-IE"/>
        </w:rPr>
        <w:t>On the 1</w:t>
      </w:r>
      <w:r w:rsidRPr="00172B00">
        <w:rPr>
          <w:vertAlign w:val="superscript"/>
          <w:lang w:val="en-IE"/>
        </w:rPr>
        <w:t>st</w:t>
      </w:r>
      <w:r w:rsidRPr="00172B00">
        <w:rPr>
          <w:lang w:val="en-IE"/>
        </w:rPr>
        <w:t xml:space="preserve"> of July 2008, the motor taxation regime in </w:t>
      </w:r>
      <w:r>
        <w:rPr>
          <w:lang w:val="en-IE"/>
        </w:rPr>
        <w:t xml:space="preserve">the Republic of </w:t>
      </w:r>
      <w:r w:rsidRPr="00172B00">
        <w:rPr>
          <w:lang w:val="en-IE"/>
        </w:rPr>
        <w:t>Ireland underwent a complete overhaul. Both Vehicle Registration Tax (VRT) and Annual Motor Tax (AMT) switched from being engine capacity based, to being based on carbon dioxide (CO2) emissions ratings per kilometre. The goal behind this action was to reduce CO2 emissions</w:t>
      </w:r>
      <w:r>
        <w:rPr>
          <w:lang w:val="en-IE"/>
        </w:rPr>
        <w:t xml:space="preserve"> from passenger car use</w:t>
      </w:r>
      <w:r w:rsidRPr="00172B00">
        <w:rPr>
          <w:lang w:val="en-IE"/>
        </w:rPr>
        <w:t xml:space="preserve"> by aligning</w:t>
      </w:r>
      <w:r>
        <w:rPr>
          <w:lang w:val="en-IE"/>
        </w:rPr>
        <w:t xml:space="preserve"> the emissions externality with the vehicle taxation system, thereby making it more expensive to purchase and operate a highly emitting vehicle.</w:t>
      </w:r>
      <w:r w:rsidR="00F247B0">
        <w:rPr>
          <w:lang w:val="en-IE"/>
        </w:rPr>
        <w:t xml:space="preserve"> </w:t>
      </w:r>
      <w:r w:rsidR="00CE16C5">
        <w:rPr>
          <w:lang w:val="en-IE"/>
        </w:rPr>
        <w:t xml:space="preserve">Following the initial change in 2008, a number of subsequent policy changes were implemented to further facilitate the adoption of low-emitting vehicles. </w:t>
      </w:r>
      <w:r w:rsidR="00E61AB6">
        <w:rPr>
          <w:lang w:val="en-IE"/>
        </w:rPr>
        <w:t>A summary of t</w:t>
      </w:r>
      <w:r w:rsidR="001826C6">
        <w:rPr>
          <w:lang w:val="en-IE"/>
        </w:rPr>
        <w:t xml:space="preserve">hese vehicle policy changes and their respective introduction </w:t>
      </w:r>
      <w:r w:rsidR="00D47999">
        <w:rPr>
          <w:lang w:val="en-IE"/>
        </w:rPr>
        <w:t>d</w:t>
      </w:r>
      <w:r w:rsidR="001826C6">
        <w:rPr>
          <w:lang w:val="en-IE"/>
        </w:rPr>
        <w:t>ates are presented in Table 1.</w:t>
      </w:r>
    </w:p>
    <w:p w14:paraId="32B8820F" w14:textId="58C7BC81" w:rsidR="001826C6" w:rsidRPr="00B53FEC" w:rsidRDefault="001826C6" w:rsidP="001826C6">
      <w:pPr>
        <w:pStyle w:val="eceee-Tableheading"/>
      </w:pPr>
      <w:r>
        <w:t xml:space="preserve">Table </w:t>
      </w:r>
      <w:r>
        <w:fldChar w:fldCharType="begin"/>
      </w:r>
      <w:r>
        <w:instrText xml:space="preserve"> SEQ Table \* ARABIC </w:instrText>
      </w:r>
      <w:r>
        <w:fldChar w:fldCharType="separate"/>
      </w:r>
      <w:r w:rsidR="0064706A">
        <w:rPr>
          <w:noProof/>
        </w:rPr>
        <w:t>1</w:t>
      </w:r>
      <w:r>
        <w:fldChar w:fldCharType="end"/>
      </w:r>
      <w:r>
        <w:t xml:space="preserve">. </w:t>
      </w:r>
      <w:r w:rsidRPr="00E71A7A">
        <w:rPr>
          <w:b w:val="0"/>
        </w:rPr>
        <w:t>Policy Implementation for Emissions-Based Vehicle Taxation</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470"/>
        <w:gridCol w:w="5499"/>
      </w:tblGrid>
      <w:tr w:rsidR="001826C6" w:rsidRPr="001D6CDF" w14:paraId="0C550EE3" w14:textId="77777777" w:rsidTr="00D47999">
        <w:trPr>
          <w:trHeight w:val="309"/>
        </w:trPr>
        <w:tc>
          <w:tcPr>
            <w:tcW w:w="2008" w:type="dxa"/>
            <w:shd w:val="clear" w:color="auto" w:fill="auto"/>
            <w:vAlign w:val="center"/>
          </w:tcPr>
          <w:p w14:paraId="6B625456" w14:textId="77777777" w:rsidR="001826C6" w:rsidRPr="0003481F" w:rsidRDefault="001826C6" w:rsidP="00367167">
            <w:pPr>
              <w:pStyle w:val="eceee-Tabletext"/>
              <w:rPr>
                <w:rFonts w:eastAsia="Calibri"/>
              </w:rPr>
            </w:pPr>
            <w:r w:rsidRPr="0003481F">
              <w:rPr>
                <w:rFonts w:eastAsia="Calibri"/>
              </w:rPr>
              <w:t>Policy Phase</w:t>
            </w:r>
          </w:p>
        </w:tc>
        <w:tc>
          <w:tcPr>
            <w:tcW w:w="1470" w:type="dxa"/>
            <w:shd w:val="clear" w:color="auto" w:fill="auto"/>
            <w:vAlign w:val="center"/>
          </w:tcPr>
          <w:p w14:paraId="364A4DBF" w14:textId="77777777" w:rsidR="001826C6" w:rsidRPr="0003481F" w:rsidRDefault="001826C6" w:rsidP="00367167">
            <w:pPr>
              <w:pStyle w:val="eceee-Tabletext"/>
              <w:rPr>
                <w:rFonts w:eastAsia="Calibri"/>
              </w:rPr>
            </w:pPr>
            <w:r w:rsidRPr="0003481F">
              <w:rPr>
                <w:rFonts w:eastAsia="Calibri"/>
              </w:rPr>
              <w:t>Effective Date</w:t>
            </w:r>
          </w:p>
        </w:tc>
        <w:tc>
          <w:tcPr>
            <w:tcW w:w="5499" w:type="dxa"/>
            <w:shd w:val="clear" w:color="auto" w:fill="auto"/>
            <w:vAlign w:val="center"/>
          </w:tcPr>
          <w:p w14:paraId="5B955E71" w14:textId="77777777" w:rsidR="001826C6" w:rsidRPr="0003481F" w:rsidRDefault="001826C6" w:rsidP="00367167">
            <w:pPr>
              <w:pStyle w:val="eceee-Tabletext"/>
              <w:rPr>
                <w:rFonts w:eastAsia="Calibri"/>
              </w:rPr>
            </w:pPr>
            <w:r w:rsidRPr="0003481F">
              <w:rPr>
                <w:rFonts w:eastAsia="Calibri"/>
              </w:rPr>
              <w:t>Summary Change</w:t>
            </w:r>
          </w:p>
        </w:tc>
      </w:tr>
      <w:tr w:rsidR="001826C6" w:rsidRPr="001D6CDF" w14:paraId="1A904D67" w14:textId="77777777" w:rsidTr="00D47999">
        <w:trPr>
          <w:trHeight w:val="309"/>
        </w:trPr>
        <w:tc>
          <w:tcPr>
            <w:tcW w:w="2008" w:type="dxa"/>
            <w:shd w:val="clear" w:color="auto" w:fill="auto"/>
            <w:vAlign w:val="center"/>
          </w:tcPr>
          <w:p w14:paraId="3628DB47" w14:textId="77777777" w:rsidR="001826C6" w:rsidRPr="0003481F" w:rsidRDefault="001826C6" w:rsidP="00367167">
            <w:pPr>
              <w:pStyle w:val="eceee-Tabletext"/>
              <w:rPr>
                <w:rFonts w:eastAsia="Calibri"/>
              </w:rPr>
            </w:pPr>
            <w:r w:rsidRPr="0003481F">
              <w:rPr>
                <w:rFonts w:eastAsia="Calibri"/>
              </w:rPr>
              <w:t>Initial Policy Implementation</w:t>
            </w:r>
          </w:p>
        </w:tc>
        <w:tc>
          <w:tcPr>
            <w:tcW w:w="1470" w:type="dxa"/>
            <w:shd w:val="clear" w:color="auto" w:fill="auto"/>
            <w:vAlign w:val="center"/>
          </w:tcPr>
          <w:p w14:paraId="58711134" w14:textId="77777777" w:rsidR="001826C6" w:rsidRPr="0003481F" w:rsidRDefault="001826C6" w:rsidP="00367167">
            <w:pPr>
              <w:pStyle w:val="eceee-Tabletext"/>
              <w:rPr>
                <w:rFonts w:eastAsia="Calibri"/>
              </w:rPr>
            </w:pPr>
            <w:r w:rsidRPr="0003481F">
              <w:rPr>
                <w:rFonts w:eastAsia="Calibri"/>
              </w:rPr>
              <w:t>1 July 2008</w:t>
            </w:r>
          </w:p>
        </w:tc>
        <w:tc>
          <w:tcPr>
            <w:tcW w:w="5499" w:type="dxa"/>
            <w:shd w:val="clear" w:color="auto" w:fill="auto"/>
            <w:vAlign w:val="center"/>
          </w:tcPr>
          <w:p w14:paraId="04ADCCA3" w14:textId="77777777" w:rsidR="001826C6" w:rsidRPr="0003481F" w:rsidRDefault="001826C6" w:rsidP="00367167">
            <w:pPr>
              <w:pStyle w:val="eceee-Tabletext"/>
              <w:rPr>
                <w:rFonts w:eastAsia="Calibri"/>
              </w:rPr>
            </w:pPr>
            <w:r w:rsidRPr="0003481F">
              <w:rPr>
                <w:rFonts w:eastAsia="Calibri"/>
              </w:rPr>
              <w:t>Transitioned from engine capacity to CO</w:t>
            </w:r>
            <w:r w:rsidRPr="0003481F">
              <w:rPr>
                <w:rFonts w:eastAsia="Calibri"/>
                <w:vertAlign w:val="subscript"/>
              </w:rPr>
              <w:t>2</w:t>
            </w:r>
            <w:r w:rsidRPr="0003481F">
              <w:rPr>
                <w:rFonts w:eastAsia="Calibri"/>
              </w:rPr>
              <w:t xml:space="preserve"> emissions taxation basis; introduced initial A-G emissions ratings for VRT and AMT</w:t>
            </w:r>
          </w:p>
        </w:tc>
      </w:tr>
      <w:tr w:rsidR="001826C6" w:rsidRPr="001D6CDF" w14:paraId="253CAD91" w14:textId="77777777" w:rsidTr="00D47999">
        <w:trPr>
          <w:trHeight w:val="309"/>
        </w:trPr>
        <w:tc>
          <w:tcPr>
            <w:tcW w:w="2008" w:type="dxa"/>
            <w:shd w:val="clear" w:color="auto" w:fill="auto"/>
            <w:vAlign w:val="center"/>
          </w:tcPr>
          <w:p w14:paraId="2CF62722" w14:textId="77777777" w:rsidR="001826C6" w:rsidRPr="0003481F" w:rsidRDefault="001826C6" w:rsidP="00367167">
            <w:pPr>
              <w:pStyle w:val="eceee-Tabletext"/>
              <w:rPr>
                <w:rFonts w:eastAsia="Calibri"/>
              </w:rPr>
            </w:pPr>
            <w:r w:rsidRPr="0003481F">
              <w:rPr>
                <w:rFonts w:eastAsia="Calibri"/>
              </w:rPr>
              <w:t>Interim Policy Change A</w:t>
            </w:r>
          </w:p>
        </w:tc>
        <w:tc>
          <w:tcPr>
            <w:tcW w:w="1470" w:type="dxa"/>
            <w:shd w:val="clear" w:color="auto" w:fill="auto"/>
            <w:vAlign w:val="center"/>
          </w:tcPr>
          <w:p w14:paraId="7A481E76" w14:textId="77777777" w:rsidR="001826C6" w:rsidRPr="0003481F" w:rsidRDefault="001826C6" w:rsidP="00367167">
            <w:pPr>
              <w:pStyle w:val="eceee-Tabletext"/>
              <w:rPr>
                <w:rFonts w:eastAsia="Calibri"/>
              </w:rPr>
            </w:pPr>
            <w:r w:rsidRPr="0003481F">
              <w:rPr>
                <w:rFonts w:eastAsia="Calibri"/>
              </w:rPr>
              <w:t>1 January 2009</w:t>
            </w:r>
          </w:p>
        </w:tc>
        <w:tc>
          <w:tcPr>
            <w:tcW w:w="5499" w:type="dxa"/>
            <w:shd w:val="clear" w:color="auto" w:fill="auto"/>
            <w:vAlign w:val="center"/>
          </w:tcPr>
          <w:p w14:paraId="3BC59046" w14:textId="77777777" w:rsidR="001826C6" w:rsidRPr="0003481F" w:rsidRDefault="001826C6" w:rsidP="00367167">
            <w:pPr>
              <w:pStyle w:val="eceee-Tabletext"/>
              <w:rPr>
                <w:rFonts w:eastAsia="Calibri"/>
              </w:rPr>
            </w:pPr>
            <w:r w:rsidRPr="0003481F">
              <w:rPr>
                <w:rFonts w:eastAsia="Calibri"/>
              </w:rPr>
              <w:t>Slight increases (4-5%) in Annual Motor Tax (AMT) amounts; no change to Vehicle Registration Tax (VRT)</w:t>
            </w:r>
          </w:p>
        </w:tc>
      </w:tr>
      <w:tr w:rsidR="001826C6" w:rsidRPr="001D6CDF" w14:paraId="29DE8F18" w14:textId="77777777" w:rsidTr="00D47999">
        <w:trPr>
          <w:trHeight w:val="309"/>
        </w:trPr>
        <w:tc>
          <w:tcPr>
            <w:tcW w:w="2008" w:type="dxa"/>
            <w:shd w:val="clear" w:color="auto" w:fill="auto"/>
            <w:vAlign w:val="center"/>
          </w:tcPr>
          <w:p w14:paraId="69D41650" w14:textId="39D0F208" w:rsidR="001826C6" w:rsidRPr="0003481F" w:rsidRDefault="001826C6" w:rsidP="00367167">
            <w:pPr>
              <w:pStyle w:val="eceee-Tabletext"/>
              <w:rPr>
                <w:rFonts w:eastAsia="Calibri"/>
              </w:rPr>
            </w:pPr>
            <w:r>
              <w:rPr>
                <w:rFonts w:eastAsia="Calibri"/>
              </w:rPr>
              <w:t>Scrappage Scheme</w:t>
            </w:r>
          </w:p>
        </w:tc>
        <w:tc>
          <w:tcPr>
            <w:tcW w:w="1470" w:type="dxa"/>
            <w:shd w:val="clear" w:color="auto" w:fill="auto"/>
            <w:vAlign w:val="center"/>
          </w:tcPr>
          <w:p w14:paraId="0868F8A5" w14:textId="37FF292C" w:rsidR="001826C6" w:rsidRPr="0003481F" w:rsidRDefault="001826C6" w:rsidP="00367167">
            <w:pPr>
              <w:pStyle w:val="eceee-Tabletext"/>
              <w:rPr>
                <w:rFonts w:eastAsia="Calibri"/>
              </w:rPr>
            </w:pPr>
            <w:r>
              <w:rPr>
                <w:rFonts w:eastAsia="Calibri"/>
              </w:rPr>
              <w:t xml:space="preserve">1 January 2010 </w:t>
            </w:r>
            <w:r w:rsidR="00D47999">
              <w:rPr>
                <w:rFonts w:eastAsia="Calibri"/>
              </w:rPr>
              <w:t>to</w:t>
            </w:r>
            <w:r>
              <w:rPr>
                <w:rFonts w:eastAsia="Calibri"/>
              </w:rPr>
              <w:t xml:space="preserve"> </w:t>
            </w:r>
            <w:r w:rsidR="00D47999">
              <w:rPr>
                <w:rFonts w:eastAsia="Calibri"/>
              </w:rPr>
              <w:t>30 June 2011</w:t>
            </w:r>
          </w:p>
        </w:tc>
        <w:tc>
          <w:tcPr>
            <w:tcW w:w="5499" w:type="dxa"/>
            <w:shd w:val="clear" w:color="auto" w:fill="auto"/>
            <w:vAlign w:val="center"/>
          </w:tcPr>
          <w:p w14:paraId="3E1795E7" w14:textId="7309B918" w:rsidR="001826C6" w:rsidRPr="0003481F" w:rsidRDefault="00D47999" w:rsidP="00367167">
            <w:pPr>
              <w:pStyle w:val="eceee-Tabletext"/>
              <w:rPr>
                <w:rFonts w:eastAsia="Calibri"/>
              </w:rPr>
            </w:pPr>
            <w:r>
              <w:rPr>
                <w:rFonts w:eastAsia="Calibri"/>
              </w:rPr>
              <w:t>VRT relief of up to €1,500 when trading in a vehicle older than 10 years, provided the new vehicle purchased is A or B rated.</w:t>
            </w:r>
          </w:p>
        </w:tc>
      </w:tr>
      <w:tr w:rsidR="001826C6" w:rsidRPr="001D6CDF" w14:paraId="1E0C4C07" w14:textId="77777777" w:rsidTr="00D47999">
        <w:trPr>
          <w:trHeight w:val="309"/>
        </w:trPr>
        <w:tc>
          <w:tcPr>
            <w:tcW w:w="2008" w:type="dxa"/>
            <w:shd w:val="clear" w:color="auto" w:fill="auto"/>
            <w:vAlign w:val="center"/>
          </w:tcPr>
          <w:p w14:paraId="23DB48E0" w14:textId="77777777" w:rsidR="001826C6" w:rsidRPr="0003481F" w:rsidRDefault="001826C6" w:rsidP="00367167">
            <w:pPr>
              <w:pStyle w:val="eceee-Tabletext"/>
              <w:rPr>
                <w:rFonts w:eastAsia="Calibri"/>
              </w:rPr>
            </w:pPr>
            <w:r w:rsidRPr="0003481F">
              <w:rPr>
                <w:rFonts w:eastAsia="Calibri"/>
              </w:rPr>
              <w:t>Interim Policy Change B</w:t>
            </w:r>
          </w:p>
        </w:tc>
        <w:tc>
          <w:tcPr>
            <w:tcW w:w="1470" w:type="dxa"/>
            <w:shd w:val="clear" w:color="auto" w:fill="auto"/>
            <w:vAlign w:val="center"/>
          </w:tcPr>
          <w:p w14:paraId="2E8791DE" w14:textId="77777777" w:rsidR="001826C6" w:rsidRPr="0003481F" w:rsidRDefault="001826C6" w:rsidP="00367167">
            <w:pPr>
              <w:pStyle w:val="eceee-Tabletext"/>
              <w:rPr>
                <w:rFonts w:eastAsia="Calibri"/>
              </w:rPr>
            </w:pPr>
            <w:r w:rsidRPr="0003481F">
              <w:rPr>
                <w:rFonts w:eastAsia="Calibri"/>
              </w:rPr>
              <w:t>1 January 2012</w:t>
            </w:r>
          </w:p>
        </w:tc>
        <w:tc>
          <w:tcPr>
            <w:tcW w:w="5499" w:type="dxa"/>
            <w:shd w:val="clear" w:color="auto" w:fill="auto"/>
            <w:vAlign w:val="center"/>
          </w:tcPr>
          <w:p w14:paraId="21F3B8FB" w14:textId="77777777" w:rsidR="001826C6" w:rsidRPr="0003481F" w:rsidRDefault="001826C6" w:rsidP="00367167">
            <w:pPr>
              <w:pStyle w:val="eceee-Tabletext"/>
              <w:rPr>
                <w:rFonts w:eastAsia="Calibri"/>
              </w:rPr>
            </w:pPr>
            <w:r w:rsidRPr="0003481F">
              <w:rPr>
                <w:rFonts w:eastAsia="Calibri"/>
              </w:rPr>
              <w:t>Substantial increases (up to 54%) in AMT amounts; no change to VRT</w:t>
            </w:r>
          </w:p>
        </w:tc>
      </w:tr>
      <w:tr w:rsidR="001826C6" w:rsidRPr="001D6CDF" w14:paraId="06CA95D7" w14:textId="77777777" w:rsidTr="00D47999">
        <w:trPr>
          <w:trHeight w:val="330"/>
        </w:trPr>
        <w:tc>
          <w:tcPr>
            <w:tcW w:w="2008" w:type="dxa"/>
            <w:shd w:val="clear" w:color="auto" w:fill="auto"/>
            <w:vAlign w:val="center"/>
          </w:tcPr>
          <w:p w14:paraId="58CD7006" w14:textId="77777777" w:rsidR="001826C6" w:rsidRPr="0003481F" w:rsidRDefault="001826C6" w:rsidP="00367167">
            <w:pPr>
              <w:pStyle w:val="eceee-Tabletext"/>
              <w:rPr>
                <w:rFonts w:eastAsia="Calibri"/>
              </w:rPr>
            </w:pPr>
            <w:r w:rsidRPr="0003481F">
              <w:rPr>
                <w:rFonts w:eastAsia="Calibri"/>
              </w:rPr>
              <w:t>Final Policy Change</w:t>
            </w:r>
          </w:p>
        </w:tc>
        <w:tc>
          <w:tcPr>
            <w:tcW w:w="1470" w:type="dxa"/>
            <w:shd w:val="clear" w:color="auto" w:fill="auto"/>
            <w:vAlign w:val="center"/>
          </w:tcPr>
          <w:p w14:paraId="5C4F7AF5" w14:textId="77777777" w:rsidR="001826C6" w:rsidRPr="0003481F" w:rsidRDefault="001826C6" w:rsidP="00367167">
            <w:pPr>
              <w:pStyle w:val="eceee-Tabletext"/>
              <w:rPr>
                <w:rFonts w:eastAsia="Calibri"/>
              </w:rPr>
            </w:pPr>
            <w:r w:rsidRPr="0003481F">
              <w:rPr>
                <w:rFonts w:eastAsia="Calibri"/>
              </w:rPr>
              <w:t>1 January 2013</w:t>
            </w:r>
          </w:p>
        </w:tc>
        <w:tc>
          <w:tcPr>
            <w:tcW w:w="5499" w:type="dxa"/>
            <w:shd w:val="clear" w:color="auto" w:fill="auto"/>
            <w:vAlign w:val="center"/>
          </w:tcPr>
          <w:p w14:paraId="702CEE9B" w14:textId="71E82F3E" w:rsidR="00F247B0" w:rsidRPr="0003481F" w:rsidRDefault="001826C6" w:rsidP="00367167">
            <w:pPr>
              <w:pStyle w:val="eceee-Tabletext"/>
              <w:rPr>
                <w:rFonts w:eastAsia="Calibri"/>
              </w:rPr>
            </w:pPr>
            <w:r w:rsidRPr="0003481F">
              <w:rPr>
                <w:rFonts w:eastAsia="Calibri"/>
              </w:rPr>
              <w:t xml:space="preserve">Introduction of graduated A and B ratings (A0, A1, A2, A3, A4, B1, B2); </w:t>
            </w:r>
            <w:r w:rsidR="00D40198">
              <w:rPr>
                <w:rFonts w:eastAsia="Calibri"/>
              </w:rPr>
              <w:t>and small changes in VRT rates.</w:t>
            </w:r>
          </w:p>
        </w:tc>
      </w:tr>
    </w:tbl>
    <w:p w14:paraId="519A2C5C" w14:textId="0FAE9D79" w:rsidR="00F247B0" w:rsidRPr="00F247B0" w:rsidRDefault="00F247B0" w:rsidP="00F247B0">
      <w:pPr>
        <w:pStyle w:val="Heading2"/>
        <w:rPr>
          <w:rFonts w:ascii="Times New Roman" w:hAnsi="Times New Roman"/>
          <w:b w:val="0"/>
          <w:i w:val="0"/>
          <w:sz w:val="20"/>
        </w:rPr>
      </w:pPr>
      <w:r w:rsidRPr="00F247B0">
        <w:rPr>
          <w:rFonts w:ascii="Times New Roman" w:hAnsi="Times New Roman"/>
          <w:b w:val="0"/>
          <w:i w:val="0"/>
          <w:sz w:val="20"/>
        </w:rPr>
        <w:t>In this study, we attempt to quantify and disentangle the effect of each of these policy changes on car purchase decisions in the Republic of Ireland</w:t>
      </w:r>
      <w:r w:rsidR="00CE16C5">
        <w:rPr>
          <w:rFonts w:ascii="Times New Roman" w:hAnsi="Times New Roman"/>
          <w:b w:val="0"/>
          <w:i w:val="0"/>
          <w:sz w:val="20"/>
        </w:rPr>
        <w:t>, relative to the counterfactual of no change.</w:t>
      </w:r>
    </w:p>
    <w:p w14:paraId="6803366F" w14:textId="0C31125D" w:rsidR="00DC69F1" w:rsidRDefault="00DC69F1">
      <w:pPr>
        <w:pStyle w:val="Heading2"/>
        <w:rPr>
          <w:i w:val="0"/>
          <w:sz w:val="24"/>
          <w:szCs w:val="24"/>
        </w:rPr>
      </w:pPr>
      <w:r w:rsidRPr="00D767DA">
        <w:rPr>
          <w:i w:val="0"/>
          <w:sz w:val="24"/>
          <w:szCs w:val="24"/>
        </w:rPr>
        <w:t>Methods</w:t>
      </w:r>
    </w:p>
    <w:p w14:paraId="3E1115F7" w14:textId="0613F96B" w:rsidR="001826C6" w:rsidRDefault="007B5554" w:rsidP="007B5554">
      <w:pPr>
        <w:rPr>
          <w:lang w:val="en-IE"/>
        </w:rPr>
      </w:pPr>
      <w:r>
        <w:rPr>
          <w:lang w:val="en-IE"/>
        </w:rPr>
        <w:t>Quantifying the effectiveness of such policy change</w:t>
      </w:r>
      <w:r w:rsidR="00D47999">
        <w:rPr>
          <w:lang w:val="en-IE"/>
        </w:rPr>
        <w:t>s</w:t>
      </w:r>
      <w:r>
        <w:rPr>
          <w:lang w:val="en-IE"/>
        </w:rPr>
        <w:t xml:space="preserve"> presents a number of challenges. Although on average, the emissions ratings of newly registered vehicles in Ireland have declined in recent years this may be due to vehicle suppliers offering less emitting vehicles, rather than a change in consumer purchasing behaviour which results from the policy change</w:t>
      </w:r>
      <w:r w:rsidR="00984C6B">
        <w:rPr>
          <w:lang w:val="en-IE"/>
        </w:rPr>
        <w:t>(s)</w:t>
      </w:r>
      <w:r>
        <w:rPr>
          <w:lang w:val="en-IE"/>
        </w:rPr>
        <w:t>. Using a difference in differences quasi-experimental design,</w:t>
      </w:r>
      <w:r w:rsidRPr="00172B00">
        <w:rPr>
          <w:lang w:val="en-IE"/>
        </w:rPr>
        <w:t xml:space="preserve"> </w:t>
      </w:r>
      <w:r>
        <w:rPr>
          <w:lang w:val="en-IE"/>
        </w:rPr>
        <w:t>w</w:t>
      </w:r>
      <w:r w:rsidRPr="00172B00">
        <w:rPr>
          <w:lang w:val="en-IE"/>
        </w:rPr>
        <w:t xml:space="preserve">e attempt </w:t>
      </w:r>
      <w:r>
        <w:rPr>
          <w:lang w:val="en-IE"/>
        </w:rPr>
        <w:t xml:space="preserve">recreate the missing counterfactual of vehicle purchasing patterns in Ireland in the absence of the policy change(s) using the trend in UK </w:t>
      </w:r>
    </w:p>
    <w:p w14:paraId="31B27F1C" w14:textId="77777777" w:rsidR="00984C6B" w:rsidRDefault="007B5554" w:rsidP="00984C6B">
      <w:pPr>
        <w:rPr>
          <w:lang w:val="en-IE"/>
        </w:rPr>
      </w:pPr>
      <w:r>
        <w:rPr>
          <w:lang w:val="en-IE"/>
        </w:rPr>
        <w:t xml:space="preserve">passenger car emissions as a counterfactual. </w:t>
      </w:r>
    </w:p>
    <w:p w14:paraId="03DB8FB1" w14:textId="77777777" w:rsidR="00984C6B" w:rsidRDefault="00984C6B" w:rsidP="00984C6B">
      <w:pPr>
        <w:rPr>
          <w:lang w:val="en-IE"/>
        </w:rPr>
      </w:pPr>
    </w:p>
    <w:p w14:paraId="3E711BEA" w14:textId="28C6A7EE" w:rsidR="00984C6B" w:rsidRPr="00984C6B" w:rsidRDefault="00D47999" w:rsidP="00984C6B">
      <w:pPr>
        <w:rPr>
          <w:lang w:val="en-IE"/>
        </w:rPr>
      </w:pPr>
      <w:r>
        <w:rPr>
          <w:lang w:val="en-IE"/>
        </w:rPr>
        <w:t xml:space="preserve">The UK provides a useful </w:t>
      </w:r>
      <w:r w:rsidR="00E61AB6">
        <w:rPr>
          <w:lang w:val="en-IE"/>
        </w:rPr>
        <w:t>counterfactual</w:t>
      </w:r>
      <w:r>
        <w:rPr>
          <w:lang w:val="en-IE"/>
        </w:rPr>
        <w:t xml:space="preserve"> for a number of reasons. </w:t>
      </w:r>
      <w:r w:rsidR="00984C6B">
        <w:t>First, prior to the tax regime change in Ireland in 2008, the average CO</w:t>
      </w:r>
      <w:r w:rsidR="00984C6B" w:rsidRPr="00800276">
        <w:rPr>
          <w:vertAlign w:val="subscript"/>
        </w:rPr>
        <w:t>2</w:t>
      </w:r>
      <w:r w:rsidR="00984C6B">
        <w:t xml:space="preserve"> emissions rating for newly registered passenger cars in Ireland and the United Kingdom appear to be on a very similar trajectory (as shown in Figure 1). This relationship meets the parallel trends assumption which is central to the application of difference-in-difference analysis applied here. Second, there were no substantial changes to the UK motor taxation system over the period from March 2001 to April 2017. Since March 2001, the annual motoring tax, </w:t>
      </w:r>
      <w:r w:rsidR="00984C6B" w:rsidRPr="00AF5A74">
        <w:t>Vehicle Excise Duty (VED), in the United Kingdom</w:t>
      </w:r>
      <w:r w:rsidR="00984C6B">
        <w:t xml:space="preserve"> has been calculated based on CO</w:t>
      </w:r>
      <w:r w:rsidR="00984C6B" w:rsidRPr="00800276">
        <w:rPr>
          <w:vertAlign w:val="subscript"/>
        </w:rPr>
        <w:t>2</w:t>
      </w:r>
      <w:r w:rsidR="00984C6B">
        <w:t xml:space="preserve"> emissions ratings. Third, both Ireland and the UK are EU member states, and are therefore subject to the same EU-level regulations over our period of study. Finally, the United Kingdom and Ireland share similar road infrastructure and driving rules. Both jurisdictions operate under Left-hand Traffic (LHT) rules, and nearly all vehicles registered in both countries are Right-hand Drive (RHD). These characteristics, coupled with the close proximity of the two markets, suggest a similar product offering by car manufacturers in both jurisdictions.</w:t>
      </w:r>
    </w:p>
    <w:p w14:paraId="0C796AAF" w14:textId="4C478C5A" w:rsidR="00D47999" w:rsidRDefault="00D47999" w:rsidP="00984C6B">
      <w:pPr>
        <w:rPr>
          <w:lang w:val="en-IE"/>
        </w:rPr>
      </w:pPr>
    </w:p>
    <w:p w14:paraId="651842CC" w14:textId="66165E65" w:rsidR="001826C6" w:rsidRDefault="00984C6B" w:rsidP="007B5554">
      <w:pPr>
        <w:rPr>
          <w:lang w:val="en-IE"/>
        </w:rPr>
      </w:pPr>
      <w:r>
        <w:rPr>
          <w:lang w:val="en-IE"/>
        </w:rPr>
        <w:t>In addition</w:t>
      </w:r>
      <w:r w:rsidR="00D40198">
        <w:rPr>
          <w:lang w:val="en-IE"/>
        </w:rPr>
        <w:t>, in our regression specification</w:t>
      </w:r>
      <w:r>
        <w:rPr>
          <w:lang w:val="en-IE"/>
        </w:rPr>
        <w:t xml:space="preserve"> we control for a number of state specific characteristics which vary over time and which may influence car purchase choices, such as household income and fuel prices. </w:t>
      </w:r>
      <w:r w:rsidR="00D40198">
        <w:rPr>
          <w:lang w:val="en-IE"/>
        </w:rPr>
        <w:t>We carry out the analysis with rated emissions as our dependent variable, and then repeat the procedure using</w:t>
      </w:r>
      <w:r w:rsidR="00E61AB6">
        <w:rPr>
          <w:lang w:val="en-IE"/>
        </w:rPr>
        <w:t xml:space="preserve"> fuel type as our </w:t>
      </w:r>
      <w:r w:rsidR="007328CD">
        <w:rPr>
          <w:lang w:val="en-IE"/>
        </w:rPr>
        <w:t xml:space="preserve">outcome </w:t>
      </w:r>
      <w:r w:rsidR="00E61AB6">
        <w:rPr>
          <w:lang w:val="en-IE"/>
        </w:rPr>
        <w:t>variable</w:t>
      </w:r>
      <w:r w:rsidR="00D40198">
        <w:rPr>
          <w:lang w:val="en-IE"/>
        </w:rPr>
        <w:t xml:space="preserve">, taking advantage of data on the complete population of </w:t>
      </w:r>
      <w:r w:rsidR="00E61AB6">
        <w:rPr>
          <w:lang w:val="en-IE"/>
        </w:rPr>
        <w:t>passenger</w:t>
      </w:r>
      <w:r w:rsidR="00D40198">
        <w:rPr>
          <w:lang w:val="en-IE"/>
        </w:rPr>
        <w:t xml:space="preserve"> car registrations in both </w:t>
      </w:r>
      <w:r w:rsidR="00E61AB6">
        <w:rPr>
          <w:lang w:val="en-IE"/>
        </w:rPr>
        <w:t>jurisdictions</w:t>
      </w:r>
      <w:r w:rsidR="006F097E">
        <w:rPr>
          <w:lang w:val="en-IE"/>
        </w:rPr>
        <w:t>, which amounts to approximately 50 million observations in total.</w:t>
      </w:r>
      <w:r w:rsidR="00D40198">
        <w:rPr>
          <w:lang w:val="en-IE"/>
        </w:rPr>
        <w:t xml:space="preserve"> </w:t>
      </w:r>
    </w:p>
    <w:p w14:paraId="13D352A0" w14:textId="77777777" w:rsidR="00984C6B" w:rsidRDefault="00984C6B" w:rsidP="007B5554">
      <w:pPr>
        <w:rPr>
          <w:lang w:val="en-IE"/>
        </w:rPr>
      </w:pPr>
    </w:p>
    <w:p w14:paraId="619485F9" w14:textId="5FB18862" w:rsidR="00DC69F1" w:rsidRDefault="00DC69F1" w:rsidP="00DC69F1">
      <w:pPr>
        <w:pStyle w:val="Heading2"/>
        <w:rPr>
          <w:i w:val="0"/>
          <w:sz w:val="24"/>
          <w:szCs w:val="24"/>
        </w:rPr>
      </w:pPr>
      <w:r w:rsidRPr="00D767DA">
        <w:rPr>
          <w:i w:val="0"/>
          <w:sz w:val="24"/>
          <w:szCs w:val="24"/>
        </w:rPr>
        <w:lastRenderedPageBreak/>
        <w:t>Results</w:t>
      </w:r>
    </w:p>
    <w:p w14:paraId="3620AF25" w14:textId="2F97E3E5" w:rsidR="001826C6" w:rsidRPr="001826C6" w:rsidRDefault="001826C6" w:rsidP="001826C6">
      <w:pPr>
        <w:rPr>
          <w:b/>
          <w:lang w:val="en-IE"/>
        </w:rPr>
      </w:pPr>
      <w:r>
        <w:rPr>
          <w:b/>
          <w:lang w:val="en-IE"/>
        </w:rPr>
        <w:t xml:space="preserve">Figure 1: </w:t>
      </w:r>
      <w:r w:rsidRPr="00E71A7A">
        <w:rPr>
          <w:lang w:val="en-IE"/>
        </w:rPr>
        <w:t>Average CO2 ratings</w:t>
      </w:r>
      <w:r>
        <w:rPr>
          <w:b/>
          <w:lang w:val="en-IE"/>
        </w:rPr>
        <w:t xml:space="preserve"> </w:t>
      </w:r>
      <w:r w:rsidR="0064706A">
        <w:rPr>
          <w:b/>
          <w:lang w:val="en-IE"/>
        </w:rPr>
        <w:tab/>
      </w:r>
      <w:r w:rsidR="00E71A7A">
        <w:rPr>
          <w:b/>
          <w:lang w:val="en-IE"/>
        </w:rPr>
        <w:tab/>
      </w:r>
      <w:r w:rsidR="00E71A7A">
        <w:rPr>
          <w:b/>
          <w:lang w:val="en-IE"/>
        </w:rPr>
        <w:tab/>
      </w:r>
      <w:r w:rsidR="00E71A7A">
        <w:rPr>
          <w:b/>
          <w:lang w:val="en-IE"/>
        </w:rPr>
        <w:tab/>
      </w:r>
      <w:r w:rsidR="0064706A">
        <w:rPr>
          <w:b/>
          <w:lang w:val="en-IE"/>
        </w:rPr>
        <w:t xml:space="preserve">Figure 2: </w:t>
      </w:r>
      <w:r w:rsidR="0064706A" w:rsidRPr="00E71A7A">
        <w:rPr>
          <w:lang w:val="en-IE"/>
        </w:rPr>
        <w:t>Diesel Share</w:t>
      </w:r>
    </w:p>
    <w:p w14:paraId="01FC21D6" w14:textId="2D7EF37E" w:rsidR="00984C6B" w:rsidRDefault="001826C6" w:rsidP="00D40198">
      <w:pPr>
        <w:rPr>
          <w:lang w:val="en-IE"/>
        </w:rPr>
      </w:pPr>
      <w:r w:rsidRPr="00856462">
        <w:rPr>
          <w:noProof/>
          <w:lang w:eastAsia="en-GB"/>
        </w:rPr>
        <w:drawing>
          <wp:inline distT="0" distB="0" distL="0" distR="0" wp14:anchorId="730DA1E4" wp14:editId="7DA3BE57">
            <wp:extent cx="2941983" cy="2064385"/>
            <wp:effectExtent l="0" t="0" r="0" b="0"/>
            <wp:docPr id="1" name="Picture 1" descr="Figure 3 (times new r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3 (times new rom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6861" cy="2074825"/>
                    </a:xfrm>
                    <a:prstGeom prst="rect">
                      <a:avLst/>
                    </a:prstGeom>
                    <a:noFill/>
                    <a:ln>
                      <a:noFill/>
                    </a:ln>
                  </pic:spPr>
                </pic:pic>
              </a:graphicData>
            </a:graphic>
          </wp:inline>
        </w:drawing>
      </w:r>
      <w:r w:rsidR="00E71A7A">
        <w:rPr>
          <w:lang w:val="en-IE"/>
        </w:rPr>
        <w:t xml:space="preserve">  </w:t>
      </w:r>
      <w:r w:rsidR="0064706A" w:rsidRPr="00756013">
        <w:rPr>
          <w:noProof/>
        </w:rPr>
        <w:drawing>
          <wp:inline distT="0" distB="0" distL="0" distR="0" wp14:anchorId="5F0867ED" wp14:editId="390BF709">
            <wp:extent cx="2921091" cy="2065490"/>
            <wp:effectExtent l="0" t="0" r="0" b="0"/>
            <wp:docPr id="2" name="Picture 2" descr="Figure 2 &amp; 5 (times new r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amp; 5 (times new rom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7794" cy="2077301"/>
                    </a:xfrm>
                    <a:prstGeom prst="rect">
                      <a:avLst/>
                    </a:prstGeom>
                    <a:noFill/>
                    <a:ln>
                      <a:noFill/>
                    </a:ln>
                  </pic:spPr>
                </pic:pic>
              </a:graphicData>
            </a:graphic>
          </wp:inline>
        </w:drawing>
      </w:r>
    </w:p>
    <w:p w14:paraId="6326AC04" w14:textId="01B915F7" w:rsidR="00E71A7A" w:rsidRDefault="00E71A7A" w:rsidP="00E71A7A">
      <w:r>
        <w:rPr>
          <w:lang w:val="en-IE"/>
        </w:rPr>
        <w:t xml:space="preserve">In the above, the vertical dashed lines represent the timing of introduction of the different demand-side policies (as per Table 1), while the grey box represents the duration of the scrappage scheme. We see a significant and immediate impact of the initial policy change on rated emissions and sustained outperformance of rated emissions in Ireland in comparison to the UK following the last policy change. The results from our difference-in-differences specification (Table 2) suggest </w:t>
      </w:r>
      <w:r>
        <w:t>that the initial policy change in 2008 is responsible for reducing rated emissions of newly registered passenger cars in Ireland by roughly between 8 to 11 gCO2/km. Some subsequent policy changes (such as the introduction of a scrappage scheme) have also had an effect at stimulating the purchase of less emitting vehicles.</w:t>
      </w:r>
    </w:p>
    <w:p w14:paraId="348C4699" w14:textId="77777777" w:rsidR="00E71A7A" w:rsidRPr="007B5554" w:rsidRDefault="00E71A7A" w:rsidP="00E71A7A">
      <w:pPr>
        <w:rPr>
          <w:lang w:val="en-IE"/>
        </w:rPr>
      </w:pPr>
    </w:p>
    <w:p w14:paraId="11446479" w14:textId="1A3D0B8A" w:rsidR="0064706A" w:rsidRDefault="00E71A7A" w:rsidP="00E71A7A">
      <w:pPr>
        <w:spacing w:after="27"/>
        <w:ind w:right="425"/>
      </w:pPr>
      <w:r w:rsidRPr="00E71A7A">
        <w:rPr>
          <w:b/>
          <w:lang w:val="en-IE"/>
        </w:rPr>
        <w:t>Table 2:</w:t>
      </w:r>
      <w:r>
        <w:rPr>
          <w:lang w:val="en-IE"/>
        </w:rPr>
        <w:t xml:space="preserve"> Results – CO2 Ratings</w:t>
      </w:r>
      <w:r>
        <w:rPr>
          <w:lang w:val="en-IE"/>
        </w:rPr>
        <w:tab/>
      </w:r>
      <w:r>
        <w:rPr>
          <w:lang w:val="en-IE"/>
        </w:rPr>
        <w:tab/>
      </w:r>
      <w:r>
        <w:rPr>
          <w:lang w:val="en-IE"/>
        </w:rPr>
        <w:tab/>
      </w:r>
      <w:r>
        <w:rPr>
          <w:lang w:val="en-IE"/>
        </w:rPr>
        <w:tab/>
      </w:r>
      <w:r w:rsidR="0064706A">
        <w:rPr>
          <w:b/>
        </w:rPr>
        <w:t xml:space="preserve">Table 3: </w:t>
      </w:r>
      <w:r>
        <w:t>Results -</w:t>
      </w:r>
      <w:r w:rsidR="0064706A">
        <w:t xml:space="preserve"> Diesel Share </w:t>
      </w:r>
    </w:p>
    <w:tbl>
      <w:tblPr>
        <w:tblStyle w:val="TableGrid"/>
        <w:tblpPr w:leftFromText="180" w:rightFromText="180" w:vertAnchor="text" w:horzAnchor="margin" w:tblpXSpec="right" w:tblpY="14"/>
        <w:tblW w:w="4316" w:type="dxa"/>
        <w:tblInd w:w="0" w:type="dxa"/>
        <w:tblCellMar>
          <w:top w:w="24" w:type="dxa"/>
          <w:bottom w:w="24" w:type="dxa"/>
        </w:tblCellMar>
        <w:tblLook w:val="04A0" w:firstRow="1" w:lastRow="0" w:firstColumn="1" w:lastColumn="0" w:noHBand="0" w:noVBand="1"/>
      </w:tblPr>
      <w:tblGrid>
        <w:gridCol w:w="1544"/>
        <w:gridCol w:w="855"/>
        <w:gridCol w:w="639"/>
        <w:gridCol w:w="639"/>
        <w:gridCol w:w="639"/>
      </w:tblGrid>
      <w:tr w:rsidR="00E71A7A" w:rsidRPr="0064706A" w14:paraId="1DDD550A" w14:textId="77777777" w:rsidTr="005B5B0A">
        <w:trPr>
          <w:cantSplit/>
          <w:trHeight w:val="170"/>
        </w:trPr>
        <w:tc>
          <w:tcPr>
            <w:tcW w:w="0" w:type="auto"/>
            <w:tcBorders>
              <w:top w:val="single" w:sz="6" w:space="0" w:color="000000"/>
              <w:left w:val="nil"/>
              <w:bottom w:val="single" w:sz="4" w:space="0" w:color="000000"/>
              <w:right w:val="nil"/>
            </w:tcBorders>
          </w:tcPr>
          <w:p w14:paraId="12CE8F24" w14:textId="77777777" w:rsidR="00E71A7A" w:rsidRPr="0064706A" w:rsidRDefault="00E71A7A" w:rsidP="00E71A7A">
            <w:pPr>
              <w:spacing w:line="259" w:lineRule="auto"/>
              <w:rPr>
                <w:sz w:val="12"/>
                <w:szCs w:val="12"/>
              </w:rPr>
            </w:pPr>
          </w:p>
        </w:tc>
        <w:tc>
          <w:tcPr>
            <w:tcW w:w="841" w:type="dxa"/>
            <w:tcBorders>
              <w:top w:val="single" w:sz="6" w:space="0" w:color="000000"/>
              <w:left w:val="nil"/>
              <w:bottom w:val="single" w:sz="4" w:space="0" w:color="000000"/>
              <w:right w:val="nil"/>
            </w:tcBorders>
          </w:tcPr>
          <w:p w14:paraId="19560350" w14:textId="77777777" w:rsidR="00E71A7A" w:rsidRPr="0064706A" w:rsidRDefault="00E71A7A" w:rsidP="00E71A7A">
            <w:pPr>
              <w:spacing w:line="259" w:lineRule="auto"/>
              <w:rPr>
                <w:sz w:val="12"/>
                <w:szCs w:val="12"/>
              </w:rPr>
            </w:pPr>
            <w:r w:rsidRPr="0064706A">
              <w:rPr>
                <w:sz w:val="12"/>
                <w:szCs w:val="12"/>
              </w:rPr>
              <w:t>(1)</w:t>
            </w:r>
          </w:p>
        </w:tc>
        <w:tc>
          <w:tcPr>
            <w:tcW w:w="639" w:type="dxa"/>
            <w:tcBorders>
              <w:top w:val="single" w:sz="6" w:space="0" w:color="000000"/>
              <w:left w:val="nil"/>
              <w:bottom w:val="single" w:sz="4" w:space="0" w:color="000000"/>
              <w:right w:val="nil"/>
            </w:tcBorders>
          </w:tcPr>
          <w:p w14:paraId="13C9E67D" w14:textId="77777777" w:rsidR="00E71A7A" w:rsidRPr="0064706A" w:rsidRDefault="00E71A7A" w:rsidP="00E71A7A">
            <w:pPr>
              <w:spacing w:line="259" w:lineRule="auto"/>
              <w:rPr>
                <w:sz w:val="12"/>
                <w:szCs w:val="12"/>
              </w:rPr>
            </w:pPr>
            <w:r w:rsidRPr="0064706A">
              <w:rPr>
                <w:sz w:val="12"/>
                <w:szCs w:val="12"/>
              </w:rPr>
              <w:t>(2)</w:t>
            </w:r>
          </w:p>
        </w:tc>
        <w:tc>
          <w:tcPr>
            <w:tcW w:w="639" w:type="dxa"/>
            <w:tcBorders>
              <w:top w:val="single" w:sz="6" w:space="0" w:color="000000"/>
              <w:left w:val="nil"/>
              <w:bottom w:val="single" w:sz="4" w:space="0" w:color="000000"/>
              <w:right w:val="nil"/>
            </w:tcBorders>
          </w:tcPr>
          <w:p w14:paraId="439BF565" w14:textId="77777777" w:rsidR="00E71A7A" w:rsidRPr="0064706A" w:rsidRDefault="00E71A7A" w:rsidP="00E71A7A">
            <w:pPr>
              <w:spacing w:line="259" w:lineRule="auto"/>
              <w:rPr>
                <w:sz w:val="12"/>
                <w:szCs w:val="12"/>
              </w:rPr>
            </w:pPr>
            <w:r w:rsidRPr="0064706A">
              <w:rPr>
                <w:sz w:val="12"/>
                <w:szCs w:val="12"/>
              </w:rPr>
              <w:t>(3)</w:t>
            </w:r>
          </w:p>
        </w:tc>
        <w:tc>
          <w:tcPr>
            <w:tcW w:w="639" w:type="dxa"/>
            <w:tcBorders>
              <w:top w:val="single" w:sz="6" w:space="0" w:color="000000"/>
              <w:left w:val="nil"/>
              <w:bottom w:val="single" w:sz="4" w:space="0" w:color="000000"/>
              <w:right w:val="nil"/>
            </w:tcBorders>
          </w:tcPr>
          <w:p w14:paraId="5121EF12" w14:textId="77777777" w:rsidR="00E71A7A" w:rsidRPr="0064706A" w:rsidRDefault="00E71A7A" w:rsidP="00E71A7A">
            <w:pPr>
              <w:spacing w:line="259" w:lineRule="auto"/>
              <w:rPr>
                <w:sz w:val="12"/>
                <w:szCs w:val="12"/>
              </w:rPr>
            </w:pPr>
            <w:r w:rsidRPr="0064706A">
              <w:rPr>
                <w:sz w:val="12"/>
                <w:szCs w:val="12"/>
              </w:rPr>
              <w:t>(4)</w:t>
            </w:r>
          </w:p>
        </w:tc>
      </w:tr>
      <w:tr w:rsidR="00E71A7A" w:rsidRPr="0064706A" w14:paraId="74259366" w14:textId="77777777" w:rsidTr="005B5B0A">
        <w:trPr>
          <w:cantSplit/>
          <w:trHeight w:val="170"/>
        </w:trPr>
        <w:tc>
          <w:tcPr>
            <w:tcW w:w="0" w:type="auto"/>
            <w:tcBorders>
              <w:top w:val="single" w:sz="4" w:space="0" w:color="000000"/>
              <w:left w:val="nil"/>
              <w:bottom w:val="nil"/>
              <w:right w:val="nil"/>
            </w:tcBorders>
          </w:tcPr>
          <w:p w14:paraId="4F142FC2" w14:textId="77777777" w:rsidR="00E71A7A" w:rsidRPr="0064706A" w:rsidRDefault="00E71A7A" w:rsidP="00E71A7A">
            <w:pPr>
              <w:spacing w:line="259" w:lineRule="auto"/>
              <w:rPr>
                <w:sz w:val="12"/>
                <w:szCs w:val="12"/>
              </w:rPr>
            </w:pPr>
            <w:r w:rsidRPr="0064706A">
              <w:rPr>
                <w:sz w:val="12"/>
                <w:szCs w:val="12"/>
              </w:rPr>
              <w:t>Initial policy change (2008)</w:t>
            </w:r>
          </w:p>
        </w:tc>
        <w:tc>
          <w:tcPr>
            <w:tcW w:w="841" w:type="dxa"/>
            <w:tcBorders>
              <w:top w:val="single" w:sz="4" w:space="0" w:color="000000"/>
              <w:left w:val="nil"/>
              <w:bottom w:val="nil"/>
              <w:right w:val="nil"/>
            </w:tcBorders>
          </w:tcPr>
          <w:p w14:paraId="5478F81F" w14:textId="77777777" w:rsidR="00E71A7A" w:rsidRPr="0064706A" w:rsidRDefault="00E71A7A" w:rsidP="00E71A7A">
            <w:pPr>
              <w:spacing w:line="259" w:lineRule="auto"/>
              <w:rPr>
                <w:sz w:val="12"/>
                <w:szCs w:val="12"/>
              </w:rPr>
            </w:pPr>
            <w:r w:rsidRPr="0064706A">
              <w:rPr>
                <w:sz w:val="12"/>
                <w:szCs w:val="12"/>
              </w:rPr>
              <w:t>0.3538 ***</w:t>
            </w:r>
          </w:p>
        </w:tc>
        <w:tc>
          <w:tcPr>
            <w:tcW w:w="639" w:type="dxa"/>
            <w:tcBorders>
              <w:top w:val="single" w:sz="4" w:space="0" w:color="000000"/>
              <w:left w:val="nil"/>
              <w:bottom w:val="nil"/>
              <w:right w:val="nil"/>
            </w:tcBorders>
          </w:tcPr>
          <w:p w14:paraId="3FD3A483" w14:textId="77777777" w:rsidR="00E71A7A" w:rsidRPr="0064706A" w:rsidRDefault="00E71A7A" w:rsidP="00E71A7A">
            <w:pPr>
              <w:spacing w:line="259" w:lineRule="auto"/>
              <w:rPr>
                <w:sz w:val="12"/>
                <w:szCs w:val="12"/>
              </w:rPr>
            </w:pPr>
            <w:r w:rsidRPr="0064706A">
              <w:rPr>
                <w:sz w:val="12"/>
                <w:szCs w:val="12"/>
              </w:rPr>
              <w:t>0.2204 ***</w:t>
            </w:r>
          </w:p>
        </w:tc>
        <w:tc>
          <w:tcPr>
            <w:tcW w:w="639" w:type="dxa"/>
            <w:tcBorders>
              <w:top w:val="single" w:sz="4" w:space="0" w:color="000000"/>
              <w:left w:val="nil"/>
              <w:bottom w:val="nil"/>
              <w:right w:val="nil"/>
            </w:tcBorders>
          </w:tcPr>
          <w:p w14:paraId="355B1AF8" w14:textId="77777777" w:rsidR="00E71A7A" w:rsidRPr="0064706A" w:rsidRDefault="00E71A7A" w:rsidP="00E71A7A">
            <w:pPr>
              <w:spacing w:line="259" w:lineRule="auto"/>
              <w:rPr>
                <w:sz w:val="12"/>
                <w:szCs w:val="12"/>
              </w:rPr>
            </w:pPr>
            <w:r w:rsidRPr="0064706A">
              <w:rPr>
                <w:sz w:val="12"/>
                <w:szCs w:val="12"/>
              </w:rPr>
              <w:t>0.1807 ***</w:t>
            </w:r>
          </w:p>
        </w:tc>
        <w:tc>
          <w:tcPr>
            <w:tcW w:w="639" w:type="dxa"/>
            <w:tcBorders>
              <w:top w:val="single" w:sz="4" w:space="0" w:color="000000"/>
              <w:left w:val="nil"/>
              <w:bottom w:val="nil"/>
              <w:right w:val="nil"/>
            </w:tcBorders>
          </w:tcPr>
          <w:p w14:paraId="03266CB8" w14:textId="77777777" w:rsidR="00E71A7A" w:rsidRPr="0064706A" w:rsidRDefault="00E71A7A" w:rsidP="00E71A7A">
            <w:pPr>
              <w:spacing w:line="259" w:lineRule="auto"/>
              <w:rPr>
                <w:sz w:val="12"/>
                <w:szCs w:val="12"/>
              </w:rPr>
            </w:pPr>
            <w:r w:rsidRPr="0064706A">
              <w:rPr>
                <w:sz w:val="12"/>
                <w:szCs w:val="12"/>
              </w:rPr>
              <w:t>0.1865 ***</w:t>
            </w:r>
          </w:p>
        </w:tc>
      </w:tr>
      <w:tr w:rsidR="00E71A7A" w:rsidRPr="0064706A" w14:paraId="21F7A31F" w14:textId="77777777" w:rsidTr="005B5B0A">
        <w:trPr>
          <w:cantSplit/>
          <w:trHeight w:val="170"/>
        </w:trPr>
        <w:tc>
          <w:tcPr>
            <w:tcW w:w="0" w:type="auto"/>
            <w:tcBorders>
              <w:top w:val="nil"/>
              <w:left w:val="nil"/>
              <w:bottom w:val="nil"/>
              <w:right w:val="nil"/>
            </w:tcBorders>
          </w:tcPr>
          <w:p w14:paraId="6094B7FA" w14:textId="77777777" w:rsidR="00E71A7A" w:rsidRPr="0064706A" w:rsidRDefault="00E71A7A" w:rsidP="00E71A7A">
            <w:pPr>
              <w:spacing w:line="259" w:lineRule="auto"/>
              <w:rPr>
                <w:sz w:val="12"/>
                <w:szCs w:val="12"/>
              </w:rPr>
            </w:pPr>
          </w:p>
        </w:tc>
        <w:tc>
          <w:tcPr>
            <w:tcW w:w="841" w:type="dxa"/>
            <w:tcBorders>
              <w:top w:val="nil"/>
              <w:left w:val="nil"/>
              <w:bottom w:val="nil"/>
              <w:right w:val="nil"/>
            </w:tcBorders>
          </w:tcPr>
          <w:p w14:paraId="4462CF68" w14:textId="77777777" w:rsidR="00E71A7A" w:rsidRPr="0064706A" w:rsidRDefault="00E71A7A" w:rsidP="00E71A7A">
            <w:pPr>
              <w:spacing w:line="259" w:lineRule="auto"/>
              <w:rPr>
                <w:sz w:val="12"/>
                <w:szCs w:val="12"/>
              </w:rPr>
            </w:pPr>
            <w:r w:rsidRPr="0064706A">
              <w:rPr>
                <w:sz w:val="12"/>
                <w:szCs w:val="12"/>
              </w:rPr>
              <w:t>(0.0073)</w:t>
            </w:r>
          </w:p>
        </w:tc>
        <w:tc>
          <w:tcPr>
            <w:tcW w:w="639" w:type="dxa"/>
            <w:tcBorders>
              <w:top w:val="nil"/>
              <w:left w:val="nil"/>
              <w:bottom w:val="nil"/>
              <w:right w:val="nil"/>
            </w:tcBorders>
          </w:tcPr>
          <w:p w14:paraId="1DBB9D9A" w14:textId="77777777" w:rsidR="00E71A7A" w:rsidRPr="0064706A" w:rsidRDefault="00E71A7A" w:rsidP="00E71A7A">
            <w:pPr>
              <w:spacing w:line="259" w:lineRule="auto"/>
              <w:rPr>
                <w:sz w:val="12"/>
                <w:szCs w:val="12"/>
              </w:rPr>
            </w:pPr>
            <w:r w:rsidRPr="0064706A">
              <w:rPr>
                <w:sz w:val="12"/>
                <w:szCs w:val="12"/>
              </w:rPr>
              <w:t>(0.0139)</w:t>
            </w:r>
          </w:p>
        </w:tc>
        <w:tc>
          <w:tcPr>
            <w:tcW w:w="639" w:type="dxa"/>
            <w:tcBorders>
              <w:top w:val="nil"/>
              <w:left w:val="nil"/>
              <w:bottom w:val="nil"/>
              <w:right w:val="nil"/>
            </w:tcBorders>
          </w:tcPr>
          <w:p w14:paraId="4199E819" w14:textId="77777777" w:rsidR="00E71A7A" w:rsidRPr="0064706A" w:rsidRDefault="00E71A7A" w:rsidP="00E71A7A">
            <w:pPr>
              <w:spacing w:line="259" w:lineRule="auto"/>
              <w:rPr>
                <w:sz w:val="12"/>
                <w:szCs w:val="12"/>
              </w:rPr>
            </w:pPr>
            <w:r w:rsidRPr="0064706A">
              <w:rPr>
                <w:sz w:val="12"/>
                <w:szCs w:val="12"/>
              </w:rPr>
              <w:t>(0.0152)</w:t>
            </w:r>
          </w:p>
        </w:tc>
        <w:tc>
          <w:tcPr>
            <w:tcW w:w="639" w:type="dxa"/>
            <w:tcBorders>
              <w:top w:val="nil"/>
              <w:left w:val="nil"/>
              <w:bottom w:val="nil"/>
              <w:right w:val="nil"/>
            </w:tcBorders>
          </w:tcPr>
          <w:p w14:paraId="4869E80A" w14:textId="77777777" w:rsidR="00E71A7A" w:rsidRPr="0064706A" w:rsidRDefault="00E71A7A" w:rsidP="00E71A7A">
            <w:pPr>
              <w:spacing w:line="259" w:lineRule="auto"/>
              <w:rPr>
                <w:sz w:val="12"/>
                <w:szCs w:val="12"/>
              </w:rPr>
            </w:pPr>
            <w:r w:rsidRPr="0064706A">
              <w:rPr>
                <w:sz w:val="12"/>
                <w:szCs w:val="12"/>
              </w:rPr>
              <w:t>(0.0157)</w:t>
            </w:r>
          </w:p>
        </w:tc>
      </w:tr>
      <w:tr w:rsidR="00E71A7A" w:rsidRPr="0064706A" w14:paraId="13D9ABED" w14:textId="77777777" w:rsidTr="005B5B0A">
        <w:trPr>
          <w:cantSplit/>
          <w:trHeight w:val="170"/>
        </w:trPr>
        <w:tc>
          <w:tcPr>
            <w:tcW w:w="0" w:type="auto"/>
            <w:tcBorders>
              <w:top w:val="nil"/>
              <w:left w:val="nil"/>
              <w:bottom w:val="nil"/>
              <w:right w:val="nil"/>
            </w:tcBorders>
          </w:tcPr>
          <w:p w14:paraId="3439ADC9" w14:textId="77777777" w:rsidR="00E71A7A" w:rsidRPr="0064706A" w:rsidRDefault="00E71A7A" w:rsidP="00E71A7A">
            <w:pPr>
              <w:spacing w:line="259" w:lineRule="auto"/>
              <w:rPr>
                <w:sz w:val="12"/>
                <w:szCs w:val="12"/>
              </w:rPr>
            </w:pPr>
            <w:r w:rsidRPr="0064706A">
              <w:rPr>
                <w:sz w:val="12"/>
                <w:szCs w:val="12"/>
              </w:rPr>
              <w:t>Interim policy change A (2009)</w:t>
            </w:r>
          </w:p>
        </w:tc>
        <w:tc>
          <w:tcPr>
            <w:tcW w:w="841" w:type="dxa"/>
            <w:tcBorders>
              <w:top w:val="nil"/>
              <w:left w:val="nil"/>
              <w:bottom w:val="nil"/>
              <w:right w:val="nil"/>
            </w:tcBorders>
          </w:tcPr>
          <w:p w14:paraId="23CCC379" w14:textId="77777777" w:rsidR="00E71A7A" w:rsidRPr="0064706A" w:rsidRDefault="00E71A7A" w:rsidP="00E71A7A">
            <w:pPr>
              <w:spacing w:line="259" w:lineRule="auto"/>
              <w:rPr>
                <w:sz w:val="12"/>
                <w:szCs w:val="12"/>
              </w:rPr>
            </w:pPr>
          </w:p>
        </w:tc>
        <w:tc>
          <w:tcPr>
            <w:tcW w:w="639" w:type="dxa"/>
            <w:tcBorders>
              <w:top w:val="nil"/>
              <w:left w:val="nil"/>
              <w:bottom w:val="nil"/>
              <w:right w:val="nil"/>
            </w:tcBorders>
          </w:tcPr>
          <w:p w14:paraId="0173CF6E" w14:textId="77777777" w:rsidR="00E71A7A" w:rsidRPr="0064706A" w:rsidRDefault="00E71A7A" w:rsidP="00E71A7A">
            <w:pPr>
              <w:spacing w:line="259" w:lineRule="auto"/>
              <w:rPr>
                <w:sz w:val="12"/>
                <w:szCs w:val="12"/>
              </w:rPr>
            </w:pPr>
            <w:r w:rsidRPr="0064706A">
              <w:rPr>
                <w:sz w:val="12"/>
                <w:szCs w:val="12"/>
              </w:rPr>
              <w:t>0.1063 ***</w:t>
            </w:r>
          </w:p>
        </w:tc>
        <w:tc>
          <w:tcPr>
            <w:tcW w:w="639" w:type="dxa"/>
            <w:tcBorders>
              <w:top w:val="nil"/>
              <w:left w:val="nil"/>
              <w:bottom w:val="nil"/>
              <w:right w:val="nil"/>
            </w:tcBorders>
          </w:tcPr>
          <w:p w14:paraId="52E9539A" w14:textId="77777777" w:rsidR="00E71A7A" w:rsidRPr="0064706A" w:rsidRDefault="00E71A7A" w:rsidP="00E71A7A">
            <w:pPr>
              <w:spacing w:line="259" w:lineRule="auto"/>
              <w:rPr>
                <w:sz w:val="12"/>
                <w:szCs w:val="12"/>
              </w:rPr>
            </w:pPr>
            <w:r w:rsidRPr="0064706A">
              <w:rPr>
                <w:sz w:val="12"/>
                <w:szCs w:val="12"/>
              </w:rPr>
              <w:t>0.0816 ***</w:t>
            </w:r>
          </w:p>
        </w:tc>
        <w:tc>
          <w:tcPr>
            <w:tcW w:w="639" w:type="dxa"/>
            <w:tcBorders>
              <w:top w:val="nil"/>
              <w:left w:val="nil"/>
              <w:bottom w:val="nil"/>
              <w:right w:val="nil"/>
            </w:tcBorders>
          </w:tcPr>
          <w:p w14:paraId="5C390DF7" w14:textId="77777777" w:rsidR="00E71A7A" w:rsidRPr="0064706A" w:rsidRDefault="00E71A7A" w:rsidP="00E71A7A">
            <w:pPr>
              <w:spacing w:line="259" w:lineRule="auto"/>
              <w:rPr>
                <w:sz w:val="12"/>
                <w:szCs w:val="12"/>
              </w:rPr>
            </w:pPr>
            <w:r w:rsidRPr="0064706A">
              <w:rPr>
                <w:sz w:val="12"/>
                <w:szCs w:val="12"/>
              </w:rPr>
              <w:t>0.0826 ***</w:t>
            </w:r>
          </w:p>
        </w:tc>
      </w:tr>
      <w:tr w:rsidR="00E71A7A" w:rsidRPr="0064706A" w14:paraId="7E5D4885" w14:textId="77777777" w:rsidTr="005B5B0A">
        <w:trPr>
          <w:cantSplit/>
          <w:trHeight w:val="170"/>
        </w:trPr>
        <w:tc>
          <w:tcPr>
            <w:tcW w:w="0" w:type="auto"/>
            <w:tcBorders>
              <w:top w:val="nil"/>
              <w:left w:val="nil"/>
              <w:bottom w:val="nil"/>
              <w:right w:val="nil"/>
            </w:tcBorders>
          </w:tcPr>
          <w:p w14:paraId="20A56BDB" w14:textId="77777777" w:rsidR="00E71A7A" w:rsidRPr="0064706A" w:rsidRDefault="00E71A7A" w:rsidP="00E71A7A">
            <w:pPr>
              <w:spacing w:line="259" w:lineRule="auto"/>
              <w:rPr>
                <w:sz w:val="12"/>
                <w:szCs w:val="12"/>
              </w:rPr>
            </w:pPr>
          </w:p>
        </w:tc>
        <w:tc>
          <w:tcPr>
            <w:tcW w:w="841" w:type="dxa"/>
            <w:tcBorders>
              <w:top w:val="nil"/>
              <w:left w:val="nil"/>
              <w:bottom w:val="nil"/>
              <w:right w:val="nil"/>
            </w:tcBorders>
          </w:tcPr>
          <w:p w14:paraId="05277259" w14:textId="77777777" w:rsidR="00E71A7A" w:rsidRPr="0064706A" w:rsidRDefault="00E71A7A" w:rsidP="00E71A7A">
            <w:pPr>
              <w:spacing w:line="259" w:lineRule="auto"/>
              <w:rPr>
                <w:sz w:val="12"/>
                <w:szCs w:val="12"/>
              </w:rPr>
            </w:pPr>
          </w:p>
        </w:tc>
        <w:tc>
          <w:tcPr>
            <w:tcW w:w="639" w:type="dxa"/>
            <w:tcBorders>
              <w:top w:val="nil"/>
              <w:left w:val="nil"/>
              <w:bottom w:val="nil"/>
              <w:right w:val="nil"/>
            </w:tcBorders>
          </w:tcPr>
          <w:p w14:paraId="555A863D" w14:textId="77777777" w:rsidR="00E71A7A" w:rsidRPr="0064706A" w:rsidRDefault="00E71A7A" w:rsidP="00E71A7A">
            <w:pPr>
              <w:spacing w:line="259" w:lineRule="auto"/>
              <w:rPr>
                <w:sz w:val="12"/>
                <w:szCs w:val="12"/>
              </w:rPr>
            </w:pPr>
            <w:r w:rsidRPr="0064706A">
              <w:rPr>
                <w:sz w:val="12"/>
                <w:szCs w:val="12"/>
              </w:rPr>
              <w:t>(0.0154)</w:t>
            </w:r>
          </w:p>
        </w:tc>
        <w:tc>
          <w:tcPr>
            <w:tcW w:w="639" w:type="dxa"/>
            <w:tcBorders>
              <w:top w:val="nil"/>
              <w:left w:val="nil"/>
              <w:bottom w:val="nil"/>
              <w:right w:val="nil"/>
            </w:tcBorders>
          </w:tcPr>
          <w:p w14:paraId="0CDCBE0F" w14:textId="77777777" w:rsidR="00E71A7A" w:rsidRPr="0064706A" w:rsidRDefault="00E71A7A" w:rsidP="00E71A7A">
            <w:pPr>
              <w:spacing w:line="259" w:lineRule="auto"/>
              <w:rPr>
                <w:sz w:val="12"/>
                <w:szCs w:val="12"/>
              </w:rPr>
            </w:pPr>
            <w:r w:rsidRPr="0064706A">
              <w:rPr>
                <w:sz w:val="12"/>
                <w:szCs w:val="12"/>
              </w:rPr>
              <w:t>(0.0157)</w:t>
            </w:r>
          </w:p>
        </w:tc>
        <w:tc>
          <w:tcPr>
            <w:tcW w:w="639" w:type="dxa"/>
            <w:tcBorders>
              <w:top w:val="nil"/>
              <w:left w:val="nil"/>
              <w:bottom w:val="nil"/>
              <w:right w:val="nil"/>
            </w:tcBorders>
          </w:tcPr>
          <w:p w14:paraId="0B740E82" w14:textId="77777777" w:rsidR="00E71A7A" w:rsidRPr="0064706A" w:rsidRDefault="00E71A7A" w:rsidP="00E71A7A">
            <w:pPr>
              <w:spacing w:line="259" w:lineRule="auto"/>
              <w:rPr>
                <w:sz w:val="12"/>
                <w:szCs w:val="12"/>
              </w:rPr>
            </w:pPr>
            <w:r w:rsidRPr="0064706A">
              <w:rPr>
                <w:sz w:val="12"/>
                <w:szCs w:val="12"/>
              </w:rPr>
              <w:t>(0.0157)</w:t>
            </w:r>
          </w:p>
        </w:tc>
      </w:tr>
      <w:tr w:rsidR="00E71A7A" w:rsidRPr="0064706A" w14:paraId="78081D11" w14:textId="77777777" w:rsidTr="005B5B0A">
        <w:trPr>
          <w:cantSplit/>
          <w:trHeight w:val="170"/>
        </w:trPr>
        <w:tc>
          <w:tcPr>
            <w:tcW w:w="0" w:type="auto"/>
            <w:tcBorders>
              <w:top w:val="nil"/>
              <w:left w:val="nil"/>
              <w:bottom w:val="nil"/>
              <w:right w:val="nil"/>
            </w:tcBorders>
          </w:tcPr>
          <w:p w14:paraId="5BB41877" w14:textId="77777777" w:rsidR="00E71A7A" w:rsidRPr="0064706A" w:rsidRDefault="00E71A7A" w:rsidP="00E71A7A">
            <w:pPr>
              <w:spacing w:line="259" w:lineRule="auto"/>
              <w:rPr>
                <w:sz w:val="12"/>
                <w:szCs w:val="12"/>
              </w:rPr>
            </w:pPr>
            <w:r w:rsidRPr="0064706A">
              <w:rPr>
                <w:sz w:val="12"/>
                <w:szCs w:val="12"/>
              </w:rPr>
              <w:t>Scrappage scheme</w:t>
            </w:r>
          </w:p>
        </w:tc>
        <w:tc>
          <w:tcPr>
            <w:tcW w:w="841" w:type="dxa"/>
            <w:tcBorders>
              <w:top w:val="nil"/>
              <w:left w:val="nil"/>
              <w:bottom w:val="nil"/>
              <w:right w:val="nil"/>
            </w:tcBorders>
          </w:tcPr>
          <w:p w14:paraId="271B7AB4" w14:textId="77777777" w:rsidR="00E71A7A" w:rsidRPr="0064706A" w:rsidRDefault="00E71A7A" w:rsidP="00E71A7A">
            <w:pPr>
              <w:spacing w:line="259" w:lineRule="auto"/>
              <w:rPr>
                <w:sz w:val="12"/>
                <w:szCs w:val="12"/>
              </w:rPr>
            </w:pPr>
          </w:p>
        </w:tc>
        <w:tc>
          <w:tcPr>
            <w:tcW w:w="639" w:type="dxa"/>
            <w:tcBorders>
              <w:top w:val="nil"/>
              <w:left w:val="nil"/>
              <w:bottom w:val="nil"/>
              <w:right w:val="nil"/>
            </w:tcBorders>
          </w:tcPr>
          <w:p w14:paraId="643F0D53" w14:textId="77777777" w:rsidR="00E71A7A" w:rsidRPr="0064706A" w:rsidRDefault="00E71A7A" w:rsidP="00E71A7A">
            <w:pPr>
              <w:spacing w:line="259" w:lineRule="auto"/>
              <w:rPr>
                <w:sz w:val="12"/>
                <w:szCs w:val="12"/>
              </w:rPr>
            </w:pPr>
            <w:r w:rsidRPr="0064706A">
              <w:rPr>
                <w:sz w:val="12"/>
                <w:szCs w:val="12"/>
              </w:rPr>
              <w:t>-0.0138</w:t>
            </w:r>
          </w:p>
        </w:tc>
        <w:tc>
          <w:tcPr>
            <w:tcW w:w="639" w:type="dxa"/>
            <w:tcBorders>
              <w:top w:val="nil"/>
              <w:left w:val="nil"/>
              <w:bottom w:val="nil"/>
              <w:right w:val="nil"/>
            </w:tcBorders>
          </w:tcPr>
          <w:p w14:paraId="61EF235C" w14:textId="77777777" w:rsidR="00E71A7A" w:rsidRPr="0064706A" w:rsidRDefault="00E71A7A" w:rsidP="00E71A7A">
            <w:pPr>
              <w:spacing w:line="259" w:lineRule="auto"/>
              <w:rPr>
                <w:sz w:val="12"/>
                <w:szCs w:val="12"/>
              </w:rPr>
            </w:pPr>
            <w:r w:rsidRPr="0064706A">
              <w:rPr>
                <w:sz w:val="12"/>
                <w:szCs w:val="12"/>
              </w:rPr>
              <w:t>-0.021 *</w:t>
            </w:r>
          </w:p>
        </w:tc>
        <w:tc>
          <w:tcPr>
            <w:tcW w:w="639" w:type="dxa"/>
            <w:tcBorders>
              <w:top w:val="nil"/>
              <w:left w:val="nil"/>
              <w:bottom w:val="nil"/>
              <w:right w:val="nil"/>
            </w:tcBorders>
          </w:tcPr>
          <w:p w14:paraId="2E2C6414" w14:textId="77777777" w:rsidR="00E71A7A" w:rsidRPr="0064706A" w:rsidRDefault="00E71A7A" w:rsidP="00E71A7A">
            <w:pPr>
              <w:spacing w:line="259" w:lineRule="auto"/>
              <w:rPr>
                <w:sz w:val="12"/>
                <w:szCs w:val="12"/>
              </w:rPr>
            </w:pPr>
            <w:r w:rsidRPr="0064706A">
              <w:rPr>
                <w:sz w:val="12"/>
                <w:szCs w:val="12"/>
              </w:rPr>
              <w:t>-0.0225 **</w:t>
            </w:r>
          </w:p>
        </w:tc>
      </w:tr>
      <w:tr w:rsidR="00E71A7A" w:rsidRPr="0064706A" w14:paraId="18F3BED5" w14:textId="77777777" w:rsidTr="005B5B0A">
        <w:trPr>
          <w:cantSplit/>
          <w:trHeight w:val="170"/>
        </w:trPr>
        <w:tc>
          <w:tcPr>
            <w:tcW w:w="0" w:type="auto"/>
            <w:tcBorders>
              <w:top w:val="nil"/>
              <w:left w:val="nil"/>
              <w:bottom w:val="nil"/>
              <w:right w:val="nil"/>
            </w:tcBorders>
          </w:tcPr>
          <w:p w14:paraId="6A501227" w14:textId="77777777" w:rsidR="00E71A7A" w:rsidRPr="0064706A" w:rsidRDefault="00E71A7A" w:rsidP="00E71A7A">
            <w:pPr>
              <w:spacing w:line="259" w:lineRule="auto"/>
              <w:rPr>
                <w:sz w:val="12"/>
                <w:szCs w:val="12"/>
              </w:rPr>
            </w:pPr>
          </w:p>
        </w:tc>
        <w:tc>
          <w:tcPr>
            <w:tcW w:w="841" w:type="dxa"/>
            <w:tcBorders>
              <w:top w:val="nil"/>
              <w:left w:val="nil"/>
              <w:bottom w:val="nil"/>
              <w:right w:val="nil"/>
            </w:tcBorders>
          </w:tcPr>
          <w:p w14:paraId="1CD56179" w14:textId="77777777" w:rsidR="00E71A7A" w:rsidRPr="0064706A" w:rsidRDefault="00E71A7A" w:rsidP="00E71A7A">
            <w:pPr>
              <w:spacing w:line="259" w:lineRule="auto"/>
              <w:rPr>
                <w:sz w:val="12"/>
                <w:szCs w:val="12"/>
              </w:rPr>
            </w:pPr>
          </w:p>
        </w:tc>
        <w:tc>
          <w:tcPr>
            <w:tcW w:w="639" w:type="dxa"/>
            <w:tcBorders>
              <w:top w:val="nil"/>
              <w:left w:val="nil"/>
              <w:bottom w:val="nil"/>
              <w:right w:val="nil"/>
            </w:tcBorders>
          </w:tcPr>
          <w:p w14:paraId="410929BC" w14:textId="77777777" w:rsidR="00E71A7A" w:rsidRPr="0064706A" w:rsidRDefault="00E71A7A" w:rsidP="00E71A7A">
            <w:pPr>
              <w:spacing w:line="259" w:lineRule="auto"/>
              <w:rPr>
                <w:sz w:val="12"/>
                <w:szCs w:val="12"/>
              </w:rPr>
            </w:pPr>
            <w:r w:rsidRPr="0064706A">
              <w:rPr>
                <w:sz w:val="12"/>
                <w:szCs w:val="12"/>
              </w:rPr>
              <w:t>(0.0109)</w:t>
            </w:r>
          </w:p>
        </w:tc>
        <w:tc>
          <w:tcPr>
            <w:tcW w:w="639" w:type="dxa"/>
            <w:tcBorders>
              <w:top w:val="nil"/>
              <w:left w:val="nil"/>
              <w:bottom w:val="nil"/>
              <w:right w:val="nil"/>
            </w:tcBorders>
          </w:tcPr>
          <w:p w14:paraId="1792F5C7" w14:textId="77777777" w:rsidR="00E71A7A" w:rsidRPr="0064706A" w:rsidRDefault="00E71A7A" w:rsidP="00E71A7A">
            <w:pPr>
              <w:spacing w:line="259" w:lineRule="auto"/>
              <w:rPr>
                <w:sz w:val="12"/>
                <w:szCs w:val="12"/>
              </w:rPr>
            </w:pPr>
            <w:r w:rsidRPr="0064706A">
              <w:rPr>
                <w:sz w:val="12"/>
                <w:szCs w:val="12"/>
              </w:rPr>
              <w:t>(0.0109)</w:t>
            </w:r>
          </w:p>
        </w:tc>
        <w:tc>
          <w:tcPr>
            <w:tcW w:w="639" w:type="dxa"/>
            <w:tcBorders>
              <w:top w:val="nil"/>
              <w:left w:val="nil"/>
              <w:bottom w:val="nil"/>
              <w:right w:val="nil"/>
            </w:tcBorders>
          </w:tcPr>
          <w:p w14:paraId="7BEB9D05" w14:textId="77777777" w:rsidR="00E71A7A" w:rsidRPr="0064706A" w:rsidRDefault="00E71A7A" w:rsidP="00E71A7A">
            <w:pPr>
              <w:spacing w:line="259" w:lineRule="auto"/>
              <w:rPr>
                <w:sz w:val="12"/>
                <w:szCs w:val="12"/>
              </w:rPr>
            </w:pPr>
            <w:r w:rsidRPr="0064706A">
              <w:rPr>
                <w:sz w:val="12"/>
                <w:szCs w:val="12"/>
              </w:rPr>
              <w:t>(0.0109)</w:t>
            </w:r>
          </w:p>
        </w:tc>
      </w:tr>
      <w:tr w:rsidR="00E71A7A" w:rsidRPr="0064706A" w14:paraId="7FEEE7A1" w14:textId="77777777" w:rsidTr="005B5B0A">
        <w:trPr>
          <w:cantSplit/>
          <w:trHeight w:val="170"/>
        </w:trPr>
        <w:tc>
          <w:tcPr>
            <w:tcW w:w="0" w:type="auto"/>
            <w:tcBorders>
              <w:top w:val="nil"/>
              <w:left w:val="nil"/>
              <w:bottom w:val="nil"/>
              <w:right w:val="nil"/>
            </w:tcBorders>
          </w:tcPr>
          <w:p w14:paraId="59ECA826" w14:textId="77777777" w:rsidR="00E71A7A" w:rsidRPr="0064706A" w:rsidRDefault="00E71A7A" w:rsidP="00E71A7A">
            <w:pPr>
              <w:spacing w:line="259" w:lineRule="auto"/>
              <w:rPr>
                <w:sz w:val="12"/>
                <w:szCs w:val="12"/>
              </w:rPr>
            </w:pPr>
            <w:r w:rsidRPr="0064706A">
              <w:rPr>
                <w:sz w:val="12"/>
                <w:szCs w:val="12"/>
              </w:rPr>
              <w:t>Interim policy change B (2012)</w:t>
            </w:r>
          </w:p>
        </w:tc>
        <w:tc>
          <w:tcPr>
            <w:tcW w:w="841" w:type="dxa"/>
            <w:tcBorders>
              <w:top w:val="nil"/>
              <w:left w:val="nil"/>
              <w:bottom w:val="nil"/>
              <w:right w:val="nil"/>
            </w:tcBorders>
          </w:tcPr>
          <w:p w14:paraId="66FBB18A" w14:textId="77777777" w:rsidR="00E71A7A" w:rsidRPr="0064706A" w:rsidRDefault="00E71A7A" w:rsidP="00E71A7A">
            <w:pPr>
              <w:spacing w:line="259" w:lineRule="auto"/>
              <w:rPr>
                <w:sz w:val="12"/>
                <w:szCs w:val="12"/>
              </w:rPr>
            </w:pPr>
          </w:p>
        </w:tc>
        <w:tc>
          <w:tcPr>
            <w:tcW w:w="639" w:type="dxa"/>
            <w:tcBorders>
              <w:top w:val="nil"/>
              <w:left w:val="nil"/>
              <w:bottom w:val="nil"/>
              <w:right w:val="nil"/>
            </w:tcBorders>
          </w:tcPr>
          <w:p w14:paraId="60D6DF03" w14:textId="77777777" w:rsidR="00E71A7A" w:rsidRPr="0064706A" w:rsidRDefault="00E71A7A" w:rsidP="00E71A7A">
            <w:pPr>
              <w:spacing w:line="259" w:lineRule="auto"/>
              <w:rPr>
                <w:sz w:val="12"/>
                <w:szCs w:val="12"/>
              </w:rPr>
            </w:pPr>
            <w:r w:rsidRPr="0064706A">
              <w:rPr>
                <w:sz w:val="12"/>
                <w:szCs w:val="12"/>
              </w:rPr>
              <w:t>0.0515 ***</w:t>
            </w:r>
          </w:p>
        </w:tc>
        <w:tc>
          <w:tcPr>
            <w:tcW w:w="639" w:type="dxa"/>
            <w:tcBorders>
              <w:top w:val="nil"/>
              <w:left w:val="nil"/>
              <w:bottom w:val="nil"/>
              <w:right w:val="nil"/>
            </w:tcBorders>
          </w:tcPr>
          <w:p w14:paraId="2E3654CD" w14:textId="77777777" w:rsidR="00E71A7A" w:rsidRPr="0064706A" w:rsidRDefault="00E71A7A" w:rsidP="00E71A7A">
            <w:pPr>
              <w:spacing w:line="259" w:lineRule="auto"/>
              <w:rPr>
                <w:sz w:val="12"/>
                <w:szCs w:val="12"/>
              </w:rPr>
            </w:pPr>
            <w:r w:rsidRPr="0064706A">
              <w:rPr>
                <w:sz w:val="12"/>
                <w:szCs w:val="12"/>
              </w:rPr>
              <w:t>0.0391 ***</w:t>
            </w:r>
          </w:p>
        </w:tc>
        <w:tc>
          <w:tcPr>
            <w:tcW w:w="639" w:type="dxa"/>
            <w:tcBorders>
              <w:top w:val="nil"/>
              <w:left w:val="nil"/>
              <w:bottom w:val="nil"/>
              <w:right w:val="nil"/>
            </w:tcBorders>
          </w:tcPr>
          <w:p w14:paraId="756006B9" w14:textId="77777777" w:rsidR="00E71A7A" w:rsidRPr="0064706A" w:rsidRDefault="00E71A7A" w:rsidP="00E71A7A">
            <w:pPr>
              <w:spacing w:line="259" w:lineRule="auto"/>
              <w:rPr>
                <w:sz w:val="12"/>
                <w:szCs w:val="12"/>
              </w:rPr>
            </w:pPr>
            <w:r w:rsidRPr="0064706A">
              <w:rPr>
                <w:sz w:val="12"/>
                <w:szCs w:val="12"/>
              </w:rPr>
              <w:t>0.0428 ***</w:t>
            </w:r>
          </w:p>
        </w:tc>
      </w:tr>
      <w:tr w:rsidR="00E71A7A" w:rsidRPr="0064706A" w14:paraId="34658F25" w14:textId="77777777" w:rsidTr="005B5B0A">
        <w:trPr>
          <w:cantSplit/>
          <w:trHeight w:val="170"/>
        </w:trPr>
        <w:tc>
          <w:tcPr>
            <w:tcW w:w="0" w:type="auto"/>
            <w:tcBorders>
              <w:top w:val="nil"/>
              <w:left w:val="nil"/>
              <w:bottom w:val="nil"/>
              <w:right w:val="nil"/>
            </w:tcBorders>
          </w:tcPr>
          <w:p w14:paraId="0B391895" w14:textId="77777777" w:rsidR="00E71A7A" w:rsidRPr="0064706A" w:rsidRDefault="00E71A7A" w:rsidP="00E71A7A">
            <w:pPr>
              <w:spacing w:line="259" w:lineRule="auto"/>
              <w:rPr>
                <w:sz w:val="12"/>
                <w:szCs w:val="12"/>
              </w:rPr>
            </w:pPr>
          </w:p>
        </w:tc>
        <w:tc>
          <w:tcPr>
            <w:tcW w:w="841" w:type="dxa"/>
            <w:tcBorders>
              <w:top w:val="nil"/>
              <w:left w:val="nil"/>
              <w:bottom w:val="nil"/>
              <w:right w:val="nil"/>
            </w:tcBorders>
          </w:tcPr>
          <w:p w14:paraId="2870C0CE" w14:textId="77777777" w:rsidR="00E71A7A" w:rsidRPr="0064706A" w:rsidRDefault="00E71A7A" w:rsidP="00E71A7A">
            <w:pPr>
              <w:spacing w:line="259" w:lineRule="auto"/>
              <w:rPr>
                <w:sz w:val="12"/>
                <w:szCs w:val="12"/>
              </w:rPr>
            </w:pPr>
          </w:p>
        </w:tc>
        <w:tc>
          <w:tcPr>
            <w:tcW w:w="639" w:type="dxa"/>
            <w:tcBorders>
              <w:top w:val="nil"/>
              <w:left w:val="nil"/>
              <w:bottom w:val="nil"/>
              <w:right w:val="nil"/>
            </w:tcBorders>
          </w:tcPr>
          <w:p w14:paraId="08A16CEA" w14:textId="77777777" w:rsidR="00E71A7A" w:rsidRPr="0064706A" w:rsidRDefault="00E71A7A" w:rsidP="00E71A7A">
            <w:pPr>
              <w:spacing w:line="259" w:lineRule="auto"/>
              <w:rPr>
                <w:sz w:val="12"/>
                <w:szCs w:val="12"/>
              </w:rPr>
            </w:pPr>
            <w:r w:rsidRPr="0064706A">
              <w:rPr>
                <w:sz w:val="12"/>
                <w:szCs w:val="12"/>
              </w:rPr>
              <w:t>(0.0122)</w:t>
            </w:r>
          </w:p>
        </w:tc>
        <w:tc>
          <w:tcPr>
            <w:tcW w:w="639" w:type="dxa"/>
            <w:tcBorders>
              <w:top w:val="nil"/>
              <w:left w:val="nil"/>
              <w:bottom w:val="nil"/>
              <w:right w:val="nil"/>
            </w:tcBorders>
          </w:tcPr>
          <w:p w14:paraId="33DC0AD3" w14:textId="77777777" w:rsidR="00E71A7A" w:rsidRPr="0064706A" w:rsidRDefault="00E71A7A" w:rsidP="00E71A7A">
            <w:pPr>
              <w:spacing w:line="259" w:lineRule="auto"/>
              <w:rPr>
                <w:sz w:val="12"/>
                <w:szCs w:val="12"/>
              </w:rPr>
            </w:pPr>
            <w:r w:rsidRPr="0064706A">
              <w:rPr>
                <w:sz w:val="12"/>
                <w:szCs w:val="12"/>
              </w:rPr>
              <w:t>(0.0117)</w:t>
            </w:r>
          </w:p>
        </w:tc>
        <w:tc>
          <w:tcPr>
            <w:tcW w:w="639" w:type="dxa"/>
            <w:tcBorders>
              <w:top w:val="nil"/>
              <w:left w:val="nil"/>
              <w:bottom w:val="nil"/>
              <w:right w:val="nil"/>
            </w:tcBorders>
          </w:tcPr>
          <w:p w14:paraId="1B9814E0" w14:textId="77777777" w:rsidR="00E71A7A" w:rsidRPr="0064706A" w:rsidRDefault="00E71A7A" w:rsidP="00E71A7A">
            <w:pPr>
              <w:spacing w:line="259" w:lineRule="auto"/>
              <w:rPr>
                <w:sz w:val="12"/>
                <w:szCs w:val="12"/>
              </w:rPr>
            </w:pPr>
            <w:r w:rsidRPr="0064706A">
              <w:rPr>
                <w:sz w:val="12"/>
                <w:szCs w:val="12"/>
              </w:rPr>
              <w:t>(0.0119)</w:t>
            </w:r>
          </w:p>
        </w:tc>
      </w:tr>
      <w:tr w:rsidR="00E71A7A" w:rsidRPr="0064706A" w14:paraId="7CFF9281" w14:textId="77777777" w:rsidTr="005B5B0A">
        <w:trPr>
          <w:cantSplit/>
          <w:trHeight w:val="170"/>
        </w:trPr>
        <w:tc>
          <w:tcPr>
            <w:tcW w:w="0" w:type="auto"/>
            <w:tcBorders>
              <w:top w:val="nil"/>
              <w:left w:val="nil"/>
              <w:bottom w:val="nil"/>
              <w:right w:val="nil"/>
            </w:tcBorders>
          </w:tcPr>
          <w:p w14:paraId="37315A01" w14:textId="77777777" w:rsidR="00E71A7A" w:rsidRPr="0064706A" w:rsidRDefault="00E71A7A" w:rsidP="00E71A7A">
            <w:pPr>
              <w:spacing w:line="259" w:lineRule="auto"/>
              <w:rPr>
                <w:sz w:val="12"/>
                <w:szCs w:val="12"/>
              </w:rPr>
            </w:pPr>
            <w:r w:rsidRPr="0064706A">
              <w:rPr>
                <w:sz w:val="12"/>
                <w:szCs w:val="12"/>
              </w:rPr>
              <w:t>Final Policy Change (2013)</w:t>
            </w:r>
          </w:p>
        </w:tc>
        <w:tc>
          <w:tcPr>
            <w:tcW w:w="841" w:type="dxa"/>
            <w:tcBorders>
              <w:top w:val="nil"/>
              <w:left w:val="nil"/>
              <w:bottom w:val="nil"/>
              <w:right w:val="nil"/>
            </w:tcBorders>
          </w:tcPr>
          <w:p w14:paraId="7B56B0DA" w14:textId="77777777" w:rsidR="00E71A7A" w:rsidRPr="0064706A" w:rsidRDefault="00E71A7A" w:rsidP="00E71A7A">
            <w:pPr>
              <w:spacing w:line="259" w:lineRule="auto"/>
              <w:rPr>
                <w:sz w:val="12"/>
                <w:szCs w:val="12"/>
              </w:rPr>
            </w:pPr>
          </w:p>
        </w:tc>
        <w:tc>
          <w:tcPr>
            <w:tcW w:w="639" w:type="dxa"/>
            <w:tcBorders>
              <w:top w:val="nil"/>
              <w:left w:val="nil"/>
              <w:bottom w:val="nil"/>
              <w:right w:val="nil"/>
            </w:tcBorders>
          </w:tcPr>
          <w:p w14:paraId="47CB88E4" w14:textId="77777777" w:rsidR="00E71A7A" w:rsidRPr="0064706A" w:rsidRDefault="00E71A7A" w:rsidP="00E71A7A">
            <w:pPr>
              <w:spacing w:line="259" w:lineRule="auto"/>
              <w:rPr>
                <w:sz w:val="12"/>
                <w:szCs w:val="12"/>
              </w:rPr>
            </w:pPr>
            <w:r w:rsidRPr="0064706A">
              <w:rPr>
                <w:sz w:val="12"/>
                <w:szCs w:val="12"/>
              </w:rPr>
              <w:t>0.0045</w:t>
            </w:r>
          </w:p>
        </w:tc>
        <w:tc>
          <w:tcPr>
            <w:tcW w:w="639" w:type="dxa"/>
            <w:tcBorders>
              <w:top w:val="nil"/>
              <w:left w:val="nil"/>
              <w:bottom w:val="nil"/>
              <w:right w:val="nil"/>
            </w:tcBorders>
          </w:tcPr>
          <w:p w14:paraId="664F69AB" w14:textId="77777777" w:rsidR="00E71A7A" w:rsidRPr="0064706A" w:rsidRDefault="00E71A7A" w:rsidP="00E71A7A">
            <w:pPr>
              <w:spacing w:line="259" w:lineRule="auto"/>
              <w:rPr>
                <w:sz w:val="12"/>
                <w:szCs w:val="12"/>
              </w:rPr>
            </w:pPr>
            <w:r w:rsidRPr="0064706A">
              <w:rPr>
                <w:sz w:val="12"/>
                <w:szCs w:val="12"/>
              </w:rPr>
              <w:t>-0.0119</w:t>
            </w:r>
          </w:p>
        </w:tc>
        <w:tc>
          <w:tcPr>
            <w:tcW w:w="639" w:type="dxa"/>
            <w:tcBorders>
              <w:top w:val="nil"/>
              <w:left w:val="nil"/>
              <w:bottom w:val="nil"/>
              <w:right w:val="nil"/>
            </w:tcBorders>
          </w:tcPr>
          <w:p w14:paraId="0F95B2F8" w14:textId="77777777" w:rsidR="00E71A7A" w:rsidRPr="0064706A" w:rsidRDefault="00E71A7A" w:rsidP="00E71A7A">
            <w:pPr>
              <w:spacing w:line="259" w:lineRule="auto"/>
              <w:rPr>
                <w:sz w:val="12"/>
                <w:szCs w:val="12"/>
              </w:rPr>
            </w:pPr>
            <w:r w:rsidRPr="0064706A">
              <w:rPr>
                <w:sz w:val="12"/>
                <w:szCs w:val="12"/>
              </w:rPr>
              <w:t>-0.0051</w:t>
            </w:r>
          </w:p>
        </w:tc>
      </w:tr>
      <w:tr w:rsidR="00E71A7A" w:rsidRPr="0064706A" w14:paraId="7AE9CC41" w14:textId="77777777" w:rsidTr="005B5B0A">
        <w:trPr>
          <w:cantSplit/>
          <w:trHeight w:val="170"/>
        </w:trPr>
        <w:tc>
          <w:tcPr>
            <w:tcW w:w="0" w:type="auto"/>
            <w:tcBorders>
              <w:top w:val="nil"/>
              <w:left w:val="nil"/>
              <w:bottom w:val="nil"/>
              <w:right w:val="nil"/>
            </w:tcBorders>
          </w:tcPr>
          <w:p w14:paraId="73A46AD4" w14:textId="77777777" w:rsidR="00E71A7A" w:rsidRPr="0064706A" w:rsidRDefault="00E71A7A" w:rsidP="00E71A7A">
            <w:pPr>
              <w:spacing w:line="259" w:lineRule="auto"/>
              <w:rPr>
                <w:sz w:val="12"/>
                <w:szCs w:val="12"/>
              </w:rPr>
            </w:pPr>
          </w:p>
        </w:tc>
        <w:tc>
          <w:tcPr>
            <w:tcW w:w="841" w:type="dxa"/>
            <w:tcBorders>
              <w:top w:val="nil"/>
              <w:left w:val="nil"/>
              <w:bottom w:val="nil"/>
              <w:right w:val="nil"/>
            </w:tcBorders>
          </w:tcPr>
          <w:p w14:paraId="05A32C8C" w14:textId="77777777" w:rsidR="00E71A7A" w:rsidRPr="0064706A" w:rsidRDefault="00E71A7A" w:rsidP="00E71A7A">
            <w:pPr>
              <w:spacing w:line="259" w:lineRule="auto"/>
              <w:rPr>
                <w:sz w:val="12"/>
                <w:szCs w:val="12"/>
              </w:rPr>
            </w:pPr>
          </w:p>
        </w:tc>
        <w:tc>
          <w:tcPr>
            <w:tcW w:w="639" w:type="dxa"/>
            <w:tcBorders>
              <w:top w:val="nil"/>
              <w:left w:val="nil"/>
              <w:bottom w:val="nil"/>
              <w:right w:val="nil"/>
            </w:tcBorders>
          </w:tcPr>
          <w:p w14:paraId="5FF0AF21" w14:textId="77777777" w:rsidR="00E71A7A" w:rsidRPr="0064706A" w:rsidRDefault="00E71A7A" w:rsidP="00E71A7A">
            <w:pPr>
              <w:spacing w:line="259" w:lineRule="auto"/>
              <w:rPr>
                <w:sz w:val="12"/>
                <w:szCs w:val="12"/>
              </w:rPr>
            </w:pPr>
            <w:r w:rsidRPr="0064706A">
              <w:rPr>
                <w:sz w:val="12"/>
                <w:szCs w:val="12"/>
              </w:rPr>
              <w:t>(0.0103)</w:t>
            </w:r>
          </w:p>
        </w:tc>
        <w:tc>
          <w:tcPr>
            <w:tcW w:w="639" w:type="dxa"/>
            <w:tcBorders>
              <w:top w:val="nil"/>
              <w:left w:val="nil"/>
              <w:bottom w:val="nil"/>
              <w:right w:val="nil"/>
            </w:tcBorders>
          </w:tcPr>
          <w:p w14:paraId="2F7B6EA3" w14:textId="77777777" w:rsidR="00E71A7A" w:rsidRPr="0064706A" w:rsidRDefault="00E71A7A" w:rsidP="00E71A7A">
            <w:pPr>
              <w:spacing w:line="259" w:lineRule="auto"/>
              <w:rPr>
                <w:sz w:val="12"/>
                <w:szCs w:val="12"/>
              </w:rPr>
            </w:pPr>
            <w:r w:rsidRPr="0064706A">
              <w:rPr>
                <w:sz w:val="12"/>
                <w:szCs w:val="12"/>
              </w:rPr>
              <w:t>(0.0101)</w:t>
            </w:r>
          </w:p>
        </w:tc>
        <w:tc>
          <w:tcPr>
            <w:tcW w:w="639" w:type="dxa"/>
            <w:tcBorders>
              <w:top w:val="nil"/>
              <w:left w:val="nil"/>
              <w:bottom w:val="nil"/>
              <w:right w:val="nil"/>
            </w:tcBorders>
          </w:tcPr>
          <w:p w14:paraId="2D504167" w14:textId="77777777" w:rsidR="00E71A7A" w:rsidRPr="0064706A" w:rsidRDefault="00E71A7A" w:rsidP="00E71A7A">
            <w:pPr>
              <w:spacing w:line="259" w:lineRule="auto"/>
              <w:rPr>
                <w:sz w:val="12"/>
                <w:szCs w:val="12"/>
              </w:rPr>
            </w:pPr>
            <w:r w:rsidRPr="0064706A">
              <w:rPr>
                <w:sz w:val="12"/>
                <w:szCs w:val="12"/>
              </w:rPr>
              <w:t>(0.0112)</w:t>
            </w:r>
          </w:p>
        </w:tc>
      </w:tr>
      <w:tr w:rsidR="00E71A7A" w:rsidRPr="0064706A" w14:paraId="24D6D6AB" w14:textId="77777777" w:rsidTr="005B5B0A">
        <w:trPr>
          <w:cantSplit/>
          <w:trHeight w:val="170"/>
        </w:trPr>
        <w:tc>
          <w:tcPr>
            <w:tcW w:w="0" w:type="auto"/>
            <w:tcBorders>
              <w:top w:val="nil"/>
              <w:left w:val="nil"/>
              <w:right w:val="nil"/>
            </w:tcBorders>
          </w:tcPr>
          <w:p w14:paraId="764DD086" w14:textId="77777777" w:rsidR="00E71A7A" w:rsidRPr="0064706A" w:rsidRDefault="00E71A7A" w:rsidP="00E71A7A">
            <w:pPr>
              <w:spacing w:line="259" w:lineRule="auto"/>
              <w:rPr>
                <w:sz w:val="12"/>
                <w:szCs w:val="12"/>
              </w:rPr>
            </w:pPr>
            <w:r>
              <w:rPr>
                <w:sz w:val="12"/>
                <w:szCs w:val="12"/>
              </w:rPr>
              <w:t>Country-specific controls</w:t>
            </w:r>
          </w:p>
        </w:tc>
        <w:tc>
          <w:tcPr>
            <w:tcW w:w="841" w:type="dxa"/>
            <w:tcBorders>
              <w:top w:val="nil"/>
              <w:left w:val="nil"/>
              <w:right w:val="nil"/>
            </w:tcBorders>
          </w:tcPr>
          <w:p w14:paraId="224588B6" w14:textId="77777777" w:rsidR="00E71A7A" w:rsidRPr="0064706A" w:rsidRDefault="00E71A7A" w:rsidP="00E71A7A">
            <w:pPr>
              <w:spacing w:line="259" w:lineRule="auto"/>
              <w:rPr>
                <w:sz w:val="12"/>
                <w:szCs w:val="12"/>
              </w:rPr>
            </w:pPr>
            <w:r>
              <w:rPr>
                <w:sz w:val="12"/>
                <w:szCs w:val="12"/>
              </w:rPr>
              <w:t>No</w:t>
            </w:r>
          </w:p>
        </w:tc>
        <w:tc>
          <w:tcPr>
            <w:tcW w:w="639" w:type="dxa"/>
            <w:tcBorders>
              <w:top w:val="nil"/>
              <w:left w:val="nil"/>
              <w:right w:val="nil"/>
            </w:tcBorders>
          </w:tcPr>
          <w:p w14:paraId="609A7479" w14:textId="77777777" w:rsidR="00E71A7A" w:rsidRPr="0064706A" w:rsidRDefault="00E71A7A" w:rsidP="00E71A7A">
            <w:pPr>
              <w:spacing w:line="259" w:lineRule="auto"/>
              <w:rPr>
                <w:sz w:val="12"/>
                <w:szCs w:val="12"/>
              </w:rPr>
            </w:pPr>
            <w:r>
              <w:rPr>
                <w:sz w:val="12"/>
                <w:szCs w:val="12"/>
              </w:rPr>
              <w:t>No</w:t>
            </w:r>
          </w:p>
        </w:tc>
        <w:tc>
          <w:tcPr>
            <w:tcW w:w="639" w:type="dxa"/>
            <w:tcBorders>
              <w:top w:val="nil"/>
              <w:left w:val="nil"/>
              <w:right w:val="nil"/>
            </w:tcBorders>
          </w:tcPr>
          <w:p w14:paraId="2073354D" w14:textId="77777777" w:rsidR="00E71A7A" w:rsidRPr="0064706A" w:rsidRDefault="00E71A7A" w:rsidP="00E71A7A">
            <w:pPr>
              <w:spacing w:line="259" w:lineRule="auto"/>
              <w:rPr>
                <w:sz w:val="12"/>
                <w:szCs w:val="12"/>
              </w:rPr>
            </w:pPr>
            <w:r>
              <w:rPr>
                <w:sz w:val="12"/>
                <w:szCs w:val="12"/>
              </w:rPr>
              <w:t>Yes</w:t>
            </w:r>
          </w:p>
        </w:tc>
        <w:tc>
          <w:tcPr>
            <w:tcW w:w="639" w:type="dxa"/>
            <w:tcBorders>
              <w:top w:val="nil"/>
              <w:left w:val="nil"/>
              <w:right w:val="nil"/>
            </w:tcBorders>
          </w:tcPr>
          <w:p w14:paraId="7ED0A1A9" w14:textId="77777777" w:rsidR="00E71A7A" w:rsidRPr="0064706A" w:rsidRDefault="00E71A7A" w:rsidP="00E71A7A">
            <w:pPr>
              <w:spacing w:line="259" w:lineRule="auto"/>
              <w:rPr>
                <w:sz w:val="12"/>
                <w:szCs w:val="12"/>
              </w:rPr>
            </w:pPr>
            <w:r>
              <w:rPr>
                <w:sz w:val="12"/>
                <w:szCs w:val="12"/>
              </w:rPr>
              <w:t>Yes</w:t>
            </w:r>
          </w:p>
        </w:tc>
      </w:tr>
      <w:tr w:rsidR="00E71A7A" w:rsidRPr="0064706A" w14:paraId="0B5783C7" w14:textId="77777777" w:rsidTr="005B5B0A">
        <w:trPr>
          <w:cantSplit/>
          <w:trHeight w:val="170"/>
        </w:trPr>
        <w:tc>
          <w:tcPr>
            <w:tcW w:w="0" w:type="auto"/>
            <w:tcBorders>
              <w:top w:val="nil"/>
              <w:left w:val="nil"/>
              <w:bottom w:val="single" w:sz="4" w:space="0" w:color="auto"/>
              <w:right w:val="nil"/>
            </w:tcBorders>
          </w:tcPr>
          <w:p w14:paraId="60F624C7" w14:textId="77777777" w:rsidR="00E71A7A" w:rsidRPr="0064706A" w:rsidRDefault="00E71A7A" w:rsidP="00E71A7A">
            <w:pPr>
              <w:spacing w:line="259" w:lineRule="auto"/>
              <w:rPr>
                <w:sz w:val="12"/>
                <w:szCs w:val="12"/>
              </w:rPr>
            </w:pPr>
            <w:r w:rsidRPr="0064706A">
              <w:rPr>
                <w:sz w:val="12"/>
                <w:szCs w:val="12"/>
              </w:rPr>
              <w:t>Country-specific trend</w:t>
            </w:r>
          </w:p>
        </w:tc>
        <w:tc>
          <w:tcPr>
            <w:tcW w:w="841" w:type="dxa"/>
            <w:tcBorders>
              <w:top w:val="nil"/>
              <w:left w:val="nil"/>
              <w:bottom w:val="single" w:sz="4" w:space="0" w:color="auto"/>
              <w:right w:val="nil"/>
            </w:tcBorders>
          </w:tcPr>
          <w:p w14:paraId="5DEDCB25" w14:textId="77777777" w:rsidR="00E71A7A" w:rsidRPr="0064706A" w:rsidRDefault="00E71A7A" w:rsidP="00E71A7A">
            <w:pPr>
              <w:spacing w:line="259" w:lineRule="auto"/>
              <w:rPr>
                <w:sz w:val="12"/>
                <w:szCs w:val="12"/>
              </w:rPr>
            </w:pPr>
            <w:r w:rsidRPr="0064706A">
              <w:rPr>
                <w:sz w:val="12"/>
                <w:szCs w:val="12"/>
              </w:rPr>
              <w:t>No</w:t>
            </w:r>
          </w:p>
        </w:tc>
        <w:tc>
          <w:tcPr>
            <w:tcW w:w="639" w:type="dxa"/>
            <w:tcBorders>
              <w:top w:val="nil"/>
              <w:left w:val="nil"/>
              <w:bottom w:val="single" w:sz="4" w:space="0" w:color="auto"/>
              <w:right w:val="nil"/>
            </w:tcBorders>
          </w:tcPr>
          <w:p w14:paraId="06973704" w14:textId="77777777" w:rsidR="00E71A7A" w:rsidRPr="0064706A" w:rsidRDefault="00E71A7A" w:rsidP="00E71A7A">
            <w:pPr>
              <w:spacing w:line="259" w:lineRule="auto"/>
              <w:rPr>
                <w:sz w:val="12"/>
                <w:szCs w:val="12"/>
              </w:rPr>
            </w:pPr>
            <w:r w:rsidRPr="0064706A">
              <w:rPr>
                <w:sz w:val="12"/>
                <w:szCs w:val="12"/>
              </w:rPr>
              <w:t>No</w:t>
            </w:r>
          </w:p>
        </w:tc>
        <w:tc>
          <w:tcPr>
            <w:tcW w:w="639" w:type="dxa"/>
            <w:tcBorders>
              <w:top w:val="nil"/>
              <w:left w:val="nil"/>
              <w:bottom w:val="single" w:sz="4" w:space="0" w:color="auto"/>
              <w:right w:val="nil"/>
            </w:tcBorders>
          </w:tcPr>
          <w:p w14:paraId="72264F7E" w14:textId="77777777" w:rsidR="00E71A7A" w:rsidRPr="0064706A" w:rsidRDefault="00E71A7A" w:rsidP="00E71A7A">
            <w:pPr>
              <w:spacing w:line="259" w:lineRule="auto"/>
              <w:rPr>
                <w:sz w:val="12"/>
                <w:szCs w:val="12"/>
              </w:rPr>
            </w:pPr>
            <w:r w:rsidRPr="0064706A">
              <w:rPr>
                <w:sz w:val="12"/>
                <w:szCs w:val="12"/>
              </w:rPr>
              <w:t>No</w:t>
            </w:r>
          </w:p>
        </w:tc>
        <w:tc>
          <w:tcPr>
            <w:tcW w:w="639" w:type="dxa"/>
            <w:tcBorders>
              <w:top w:val="nil"/>
              <w:left w:val="nil"/>
              <w:bottom w:val="single" w:sz="4" w:space="0" w:color="auto"/>
              <w:right w:val="nil"/>
            </w:tcBorders>
          </w:tcPr>
          <w:p w14:paraId="42C49A12" w14:textId="77777777" w:rsidR="00E71A7A" w:rsidRPr="0064706A" w:rsidRDefault="00E71A7A" w:rsidP="00E71A7A">
            <w:pPr>
              <w:spacing w:line="259" w:lineRule="auto"/>
              <w:rPr>
                <w:sz w:val="12"/>
                <w:szCs w:val="12"/>
              </w:rPr>
            </w:pPr>
            <w:r w:rsidRPr="0064706A">
              <w:rPr>
                <w:sz w:val="12"/>
                <w:szCs w:val="12"/>
              </w:rPr>
              <w:t>Yes</w:t>
            </w:r>
            <w:bookmarkStart w:id="0" w:name="_GoBack"/>
            <w:bookmarkEnd w:id="0"/>
          </w:p>
        </w:tc>
      </w:tr>
      <w:tr w:rsidR="00E71A7A" w:rsidRPr="0064706A" w14:paraId="01DC0213" w14:textId="77777777" w:rsidTr="005B5B0A">
        <w:trPr>
          <w:cantSplit/>
          <w:trHeight w:val="57"/>
        </w:trPr>
        <w:tc>
          <w:tcPr>
            <w:tcW w:w="2399" w:type="dxa"/>
            <w:gridSpan w:val="2"/>
            <w:tcBorders>
              <w:top w:val="single" w:sz="4" w:space="0" w:color="auto"/>
              <w:left w:val="nil"/>
              <w:bottom w:val="nil"/>
              <w:right w:val="nil"/>
            </w:tcBorders>
          </w:tcPr>
          <w:p w14:paraId="37671799" w14:textId="77777777" w:rsidR="00E71A7A" w:rsidRPr="00E71A7A" w:rsidRDefault="00E71A7A" w:rsidP="00E71A7A">
            <w:pPr>
              <w:rPr>
                <w:sz w:val="10"/>
                <w:szCs w:val="12"/>
              </w:rPr>
            </w:pPr>
            <w:r w:rsidRPr="00E71A7A">
              <w:rPr>
                <w:sz w:val="10"/>
              </w:rPr>
              <w:t xml:space="preserve">*** Statistically significant at </w:t>
            </w:r>
            <w:r w:rsidRPr="00E71A7A">
              <w:rPr>
                <w:i/>
                <w:sz w:val="10"/>
              </w:rPr>
              <w:t>p&lt;</w:t>
            </w:r>
            <w:r w:rsidRPr="00E71A7A">
              <w:rPr>
                <w:sz w:val="10"/>
              </w:rPr>
              <w:t>0.01</w:t>
            </w:r>
          </w:p>
        </w:tc>
        <w:tc>
          <w:tcPr>
            <w:tcW w:w="639" w:type="dxa"/>
            <w:tcBorders>
              <w:top w:val="single" w:sz="4" w:space="0" w:color="auto"/>
              <w:left w:val="nil"/>
              <w:bottom w:val="nil"/>
              <w:right w:val="nil"/>
            </w:tcBorders>
          </w:tcPr>
          <w:p w14:paraId="09012C2A" w14:textId="77777777" w:rsidR="00E71A7A" w:rsidRPr="00E71A7A" w:rsidRDefault="00E71A7A" w:rsidP="00E71A7A">
            <w:pPr>
              <w:spacing w:line="259" w:lineRule="auto"/>
              <w:rPr>
                <w:sz w:val="6"/>
                <w:szCs w:val="12"/>
              </w:rPr>
            </w:pPr>
          </w:p>
        </w:tc>
        <w:tc>
          <w:tcPr>
            <w:tcW w:w="639" w:type="dxa"/>
            <w:tcBorders>
              <w:top w:val="single" w:sz="4" w:space="0" w:color="auto"/>
              <w:left w:val="nil"/>
              <w:bottom w:val="nil"/>
              <w:right w:val="nil"/>
            </w:tcBorders>
          </w:tcPr>
          <w:p w14:paraId="0D080A19" w14:textId="77777777" w:rsidR="00E71A7A" w:rsidRPr="00E71A7A" w:rsidRDefault="00E71A7A" w:rsidP="00E71A7A">
            <w:pPr>
              <w:spacing w:line="259" w:lineRule="auto"/>
              <w:rPr>
                <w:sz w:val="6"/>
                <w:szCs w:val="12"/>
              </w:rPr>
            </w:pPr>
          </w:p>
        </w:tc>
        <w:tc>
          <w:tcPr>
            <w:tcW w:w="639" w:type="dxa"/>
            <w:tcBorders>
              <w:top w:val="single" w:sz="4" w:space="0" w:color="auto"/>
              <w:left w:val="nil"/>
              <w:bottom w:val="nil"/>
              <w:right w:val="nil"/>
            </w:tcBorders>
          </w:tcPr>
          <w:p w14:paraId="08781576" w14:textId="77777777" w:rsidR="00E71A7A" w:rsidRPr="00E71A7A" w:rsidRDefault="00E71A7A" w:rsidP="00E71A7A">
            <w:pPr>
              <w:spacing w:line="259" w:lineRule="auto"/>
              <w:rPr>
                <w:sz w:val="6"/>
                <w:szCs w:val="12"/>
              </w:rPr>
            </w:pPr>
          </w:p>
        </w:tc>
      </w:tr>
      <w:tr w:rsidR="00E71A7A" w:rsidRPr="0064706A" w14:paraId="243CA28A" w14:textId="77777777" w:rsidTr="005B5B0A">
        <w:trPr>
          <w:cantSplit/>
          <w:trHeight w:val="57"/>
        </w:trPr>
        <w:tc>
          <w:tcPr>
            <w:tcW w:w="2399" w:type="dxa"/>
            <w:gridSpan w:val="2"/>
            <w:tcBorders>
              <w:top w:val="nil"/>
              <w:left w:val="nil"/>
              <w:bottom w:val="nil"/>
              <w:right w:val="nil"/>
            </w:tcBorders>
          </w:tcPr>
          <w:p w14:paraId="70483AD6" w14:textId="77777777" w:rsidR="00E71A7A" w:rsidRPr="00E71A7A" w:rsidRDefault="00E71A7A" w:rsidP="00E71A7A">
            <w:pPr>
              <w:rPr>
                <w:sz w:val="10"/>
                <w:szCs w:val="12"/>
              </w:rPr>
            </w:pPr>
            <w:r w:rsidRPr="00E71A7A">
              <w:rPr>
                <w:sz w:val="10"/>
                <w:szCs w:val="12"/>
              </w:rPr>
              <w:t xml:space="preserve">** Statistically significant at </w:t>
            </w:r>
            <w:r w:rsidRPr="00E71A7A">
              <w:rPr>
                <w:i/>
                <w:sz w:val="10"/>
              </w:rPr>
              <w:t>p&lt;</w:t>
            </w:r>
            <w:r w:rsidRPr="00E71A7A">
              <w:rPr>
                <w:sz w:val="10"/>
              </w:rPr>
              <w:t>0.05</w:t>
            </w:r>
          </w:p>
        </w:tc>
        <w:tc>
          <w:tcPr>
            <w:tcW w:w="639" w:type="dxa"/>
            <w:tcBorders>
              <w:top w:val="nil"/>
              <w:left w:val="nil"/>
              <w:bottom w:val="nil"/>
              <w:right w:val="nil"/>
            </w:tcBorders>
          </w:tcPr>
          <w:p w14:paraId="1E061CD5" w14:textId="77777777" w:rsidR="00E71A7A" w:rsidRPr="00E71A7A" w:rsidRDefault="00E71A7A" w:rsidP="00E71A7A">
            <w:pPr>
              <w:spacing w:line="259" w:lineRule="auto"/>
              <w:rPr>
                <w:sz w:val="6"/>
                <w:szCs w:val="12"/>
              </w:rPr>
            </w:pPr>
          </w:p>
        </w:tc>
        <w:tc>
          <w:tcPr>
            <w:tcW w:w="639" w:type="dxa"/>
            <w:tcBorders>
              <w:top w:val="nil"/>
              <w:left w:val="nil"/>
              <w:bottom w:val="nil"/>
              <w:right w:val="nil"/>
            </w:tcBorders>
          </w:tcPr>
          <w:p w14:paraId="6B8CCFF3" w14:textId="77777777" w:rsidR="00E71A7A" w:rsidRPr="00E71A7A" w:rsidRDefault="00E71A7A" w:rsidP="00E71A7A">
            <w:pPr>
              <w:spacing w:line="259" w:lineRule="auto"/>
              <w:rPr>
                <w:sz w:val="6"/>
                <w:szCs w:val="12"/>
              </w:rPr>
            </w:pPr>
          </w:p>
        </w:tc>
        <w:tc>
          <w:tcPr>
            <w:tcW w:w="639" w:type="dxa"/>
            <w:tcBorders>
              <w:top w:val="nil"/>
              <w:left w:val="nil"/>
              <w:bottom w:val="nil"/>
              <w:right w:val="nil"/>
            </w:tcBorders>
          </w:tcPr>
          <w:p w14:paraId="14127C70" w14:textId="77777777" w:rsidR="00E71A7A" w:rsidRPr="00E71A7A" w:rsidRDefault="00E71A7A" w:rsidP="00E71A7A">
            <w:pPr>
              <w:spacing w:line="259" w:lineRule="auto"/>
              <w:rPr>
                <w:sz w:val="6"/>
                <w:szCs w:val="12"/>
              </w:rPr>
            </w:pPr>
          </w:p>
        </w:tc>
      </w:tr>
      <w:tr w:rsidR="00E71A7A" w:rsidRPr="0064706A" w14:paraId="208CDAF5" w14:textId="77777777" w:rsidTr="005B5B0A">
        <w:trPr>
          <w:cantSplit/>
          <w:trHeight w:val="57"/>
        </w:trPr>
        <w:tc>
          <w:tcPr>
            <w:tcW w:w="2399" w:type="dxa"/>
            <w:gridSpan w:val="2"/>
            <w:tcBorders>
              <w:top w:val="nil"/>
              <w:left w:val="nil"/>
              <w:bottom w:val="nil"/>
              <w:right w:val="nil"/>
            </w:tcBorders>
          </w:tcPr>
          <w:p w14:paraId="45345768" w14:textId="77777777" w:rsidR="00E71A7A" w:rsidRPr="00E71A7A" w:rsidRDefault="00E71A7A" w:rsidP="00E71A7A">
            <w:pPr>
              <w:rPr>
                <w:sz w:val="10"/>
                <w:szCs w:val="12"/>
              </w:rPr>
            </w:pPr>
            <w:r w:rsidRPr="00E71A7A">
              <w:rPr>
                <w:sz w:val="10"/>
                <w:szCs w:val="12"/>
              </w:rPr>
              <w:t xml:space="preserve">* Statistically significant at </w:t>
            </w:r>
            <w:r w:rsidRPr="00E71A7A">
              <w:rPr>
                <w:i/>
                <w:sz w:val="10"/>
              </w:rPr>
              <w:t>p&lt;</w:t>
            </w:r>
            <w:r w:rsidRPr="00E71A7A">
              <w:rPr>
                <w:sz w:val="10"/>
              </w:rPr>
              <w:t>0.1</w:t>
            </w:r>
          </w:p>
        </w:tc>
        <w:tc>
          <w:tcPr>
            <w:tcW w:w="639" w:type="dxa"/>
            <w:tcBorders>
              <w:top w:val="nil"/>
              <w:left w:val="nil"/>
              <w:bottom w:val="nil"/>
              <w:right w:val="nil"/>
            </w:tcBorders>
          </w:tcPr>
          <w:p w14:paraId="040A115E" w14:textId="77777777" w:rsidR="00E71A7A" w:rsidRPr="00E71A7A" w:rsidRDefault="00E71A7A" w:rsidP="00E71A7A">
            <w:pPr>
              <w:spacing w:line="259" w:lineRule="auto"/>
              <w:rPr>
                <w:sz w:val="6"/>
                <w:szCs w:val="12"/>
              </w:rPr>
            </w:pPr>
          </w:p>
        </w:tc>
        <w:tc>
          <w:tcPr>
            <w:tcW w:w="639" w:type="dxa"/>
            <w:tcBorders>
              <w:top w:val="nil"/>
              <w:left w:val="nil"/>
              <w:bottom w:val="nil"/>
              <w:right w:val="nil"/>
            </w:tcBorders>
          </w:tcPr>
          <w:p w14:paraId="1148FBCC" w14:textId="77777777" w:rsidR="00E71A7A" w:rsidRPr="00E71A7A" w:rsidRDefault="00E71A7A" w:rsidP="00E71A7A">
            <w:pPr>
              <w:spacing w:line="259" w:lineRule="auto"/>
              <w:rPr>
                <w:sz w:val="6"/>
                <w:szCs w:val="12"/>
              </w:rPr>
            </w:pPr>
          </w:p>
        </w:tc>
        <w:tc>
          <w:tcPr>
            <w:tcW w:w="639" w:type="dxa"/>
            <w:tcBorders>
              <w:top w:val="nil"/>
              <w:left w:val="nil"/>
              <w:bottom w:val="nil"/>
              <w:right w:val="nil"/>
            </w:tcBorders>
          </w:tcPr>
          <w:p w14:paraId="37F080E0" w14:textId="77777777" w:rsidR="00E71A7A" w:rsidRPr="00E71A7A" w:rsidRDefault="00E71A7A" w:rsidP="00E71A7A">
            <w:pPr>
              <w:spacing w:line="259" w:lineRule="auto"/>
              <w:rPr>
                <w:sz w:val="6"/>
                <w:szCs w:val="12"/>
              </w:rPr>
            </w:pPr>
          </w:p>
        </w:tc>
      </w:tr>
    </w:tbl>
    <w:tbl>
      <w:tblPr>
        <w:tblStyle w:val="TableGrid"/>
        <w:tblpPr w:leftFromText="180" w:rightFromText="180" w:vertAnchor="text" w:horzAnchor="margin" w:tblpY="24"/>
        <w:tblW w:w="4395" w:type="dxa"/>
        <w:tblInd w:w="0" w:type="dxa"/>
        <w:tblCellMar>
          <w:top w:w="24" w:type="dxa"/>
          <w:bottom w:w="24" w:type="dxa"/>
        </w:tblCellMar>
        <w:tblLook w:val="04A0" w:firstRow="1" w:lastRow="0" w:firstColumn="1" w:lastColumn="0" w:noHBand="0" w:noVBand="1"/>
      </w:tblPr>
      <w:tblGrid>
        <w:gridCol w:w="1524"/>
        <w:gridCol w:w="603"/>
        <w:gridCol w:w="708"/>
        <w:gridCol w:w="709"/>
        <w:gridCol w:w="851"/>
      </w:tblGrid>
      <w:tr w:rsidR="00E71A7A" w:rsidRPr="0064706A" w14:paraId="5136EED0" w14:textId="77777777" w:rsidTr="005B5B0A">
        <w:trPr>
          <w:cantSplit/>
          <w:trHeight w:val="170"/>
        </w:trPr>
        <w:tc>
          <w:tcPr>
            <w:tcW w:w="0" w:type="auto"/>
            <w:tcBorders>
              <w:top w:val="single" w:sz="6" w:space="0" w:color="000000"/>
              <w:left w:val="nil"/>
              <w:bottom w:val="single" w:sz="4" w:space="0" w:color="000000"/>
              <w:right w:val="nil"/>
            </w:tcBorders>
          </w:tcPr>
          <w:p w14:paraId="5014221B" w14:textId="77777777" w:rsidR="00E71A7A" w:rsidRPr="0064706A" w:rsidRDefault="00E71A7A" w:rsidP="005B5B0A">
            <w:pPr>
              <w:spacing w:line="259" w:lineRule="auto"/>
              <w:rPr>
                <w:sz w:val="12"/>
                <w:szCs w:val="12"/>
              </w:rPr>
            </w:pPr>
          </w:p>
        </w:tc>
        <w:tc>
          <w:tcPr>
            <w:tcW w:w="603" w:type="dxa"/>
            <w:tcBorders>
              <w:top w:val="single" w:sz="6" w:space="0" w:color="000000"/>
              <w:left w:val="nil"/>
              <w:bottom w:val="single" w:sz="4" w:space="0" w:color="000000"/>
              <w:right w:val="nil"/>
            </w:tcBorders>
          </w:tcPr>
          <w:p w14:paraId="2F6D4199" w14:textId="77777777" w:rsidR="00E71A7A" w:rsidRPr="0064706A" w:rsidRDefault="00E71A7A" w:rsidP="005B5B0A">
            <w:pPr>
              <w:spacing w:line="259" w:lineRule="auto"/>
              <w:rPr>
                <w:sz w:val="12"/>
                <w:szCs w:val="12"/>
              </w:rPr>
            </w:pPr>
            <w:r w:rsidRPr="0064706A">
              <w:rPr>
                <w:sz w:val="12"/>
                <w:szCs w:val="12"/>
              </w:rPr>
              <w:t>(1)</w:t>
            </w:r>
          </w:p>
        </w:tc>
        <w:tc>
          <w:tcPr>
            <w:tcW w:w="708" w:type="dxa"/>
            <w:tcBorders>
              <w:top w:val="single" w:sz="6" w:space="0" w:color="000000"/>
              <w:left w:val="nil"/>
              <w:bottom w:val="single" w:sz="4" w:space="0" w:color="000000"/>
              <w:right w:val="nil"/>
            </w:tcBorders>
          </w:tcPr>
          <w:p w14:paraId="0D7A519E" w14:textId="77777777" w:rsidR="00E71A7A" w:rsidRPr="0064706A" w:rsidRDefault="00E71A7A" w:rsidP="005B5B0A">
            <w:pPr>
              <w:spacing w:line="259" w:lineRule="auto"/>
              <w:rPr>
                <w:sz w:val="12"/>
                <w:szCs w:val="12"/>
              </w:rPr>
            </w:pPr>
            <w:r w:rsidRPr="0064706A">
              <w:rPr>
                <w:sz w:val="12"/>
                <w:szCs w:val="12"/>
              </w:rPr>
              <w:t>(2)</w:t>
            </w:r>
          </w:p>
        </w:tc>
        <w:tc>
          <w:tcPr>
            <w:tcW w:w="709" w:type="dxa"/>
            <w:tcBorders>
              <w:top w:val="single" w:sz="6" w:space="0" w:color="000000"/>
              <w:left w:val="nil"/>
              <w:bottom w:val="single" w:sz="4" w:space="0" w:color="000000"/>
              <w:right w:val="nil"/>
            </w:tcBorders>
          </w:tcPr>
          <w:p w14:paraId="2899D55E" w14:textId="77777777" w:rsidR="00E71A7A" w:rsidRPr="0064706A" w:rsidRDefault="00E71A7A" w:rsidP="005B5B0A">
            <w:pPr>
              <w:spacing w:line="259" w:lineRule="auto"/>
              <w:rPr>
                <w:sz w:val="12"/>
                <w:szCs w:val="12"/>
              </w:rPr>
            </w:pPr>
            <w:r w:rsidRPr="0064706A">
              <w:rPr>
                <w:sz w:val="12"/>
                <w:szCs w:val="12"/>
              </w:rPr>
              <w:t>(3)</w:t>
            </w:r>
          </w:p>
        </w:tc>
        <w:tc>
          <w:tcPr>
            <w:tcW w:w="851" w:type="dxa"/>
            <w:tcBorders>
              <w:top w:val="single" w:sz="6" w:space="0" w:color="000000"/>
              <w:left w:val="nil"/>
              <w:bottom w:val="single" w:sz="4" w:space="0" w:color="000000"/>
              <w:right w:val="nil"/>
            </w:tcBorders>
          </w:tcPr>
          <w:p w14:paraId="309B4F1E" w14:textId="77777777" w:rsidR="00E71A7A" w:rsidRPr="0064706A" w:rsidRDefault="00E71A7A" w:rsidP="005B5B0A">
            <w:pPr>
              <w:spacing w:line="259" w:lineRule="auto"/>
              <w:rPr>
                <w:sz w:val="12"/>
                <w:szCs w:val="12"/>
              </w:rPr>
            </w:pPr>
            <w:r w:rsidRPr="0064706A">
              <w:rPr>
                <w:sz w:val="12"/>
                <w:szCs w:val="12"/>
              </w:rPr>
              <w:t>(4)</w:t>
            </w:r>
          </w:p>
        </w:tc>
      </w:tr>
      <w:tr w:rsidR="00123639" w:rsidRPr="0064706A" w14:paraId="73A6E1F3" w14:textId="77777777" w:rsidTr="005B5B0A">
        <w:trPr>
          <w:cantSplit/>
          <w:trHeight w:val="170"/>
        </w:trPr>
        <w:tc>
          <w:tcPr>
            <w:tcW w:w="0" w:type="auto"/>
            <w:tcBorders>
              <w:top w:val="single" w:sz="4" w:space="0" w:color="000000"/>
              <w:left w:val="nil"/>
              <w:bottom w:val="nil"/>
              <w:right w:val="nil"/>
            </w:tcBorders>
          </w:tcPr>
          <w:p w14:paraId="43749540" w14:textId="359A0EF3" w:rsidR="00123639" w:rsidRPr="00123639" w:rsidRDefault="00123639" w:rsidP="005B5B0A">
            <w:pPr>
              <w:spacing w:line="259" w:lineRule="auto"/>
              <w:rPr>
                <w:rFonts w:cs="Times New Roman"/>
                <w:sz w:val="12"/>
                <w:szCs w:val="12"/>
              </w:rPr>
            </w:pPr>
            <w:r w:rsidRPr="00123639">
              <w:rPr>
                <w:rFonts w:cs="Times New Roman"/>
                <w:sz w:val="12"/>
                <w:szCs w:val="12"/>
              </w:rPr>
              <w:t>Initial policy change (2008)</w:t>
            </w:r>
          </w:p>
        </w:tc>
        <w:tc>
          <w:tcPr>
            <w:tcW w:w="603" w:type="dxa"/>
            <w:tcBorders>
              <w:top w:val="single" w:sz="4" w:space="0" w:color="000000"/>
              <w:left w:val="nil"/>
              <w:bottom w:val="nil"/>
              <w:right w:val="nil"/>
            </w:tcBorders>
          </w:tcPr>
          <w:p w14:paraId="6A8EA378" w14:textId="0CA56D40" w:rsidR="00123639" w:rsidRPr="00123639" w:rsidRDefault="00123639" w:rsidP="005B5B0A">
            <w:pPr>
              <w:spacing w:line="259" w:lineRule="auto"/>
              <w:rPr>
                <w:rFonts w:cs="Times New Roman"/>
                <w:sz w:val="12"/>
                <w:szCs w:val="12"/>
              </w:rPr>
            </w:pPr>
            <w:r w:rsidRPr="00123639">
              <w:rPr>
                <w:rFonts w:cs="Times New Roman"/>
                <w:sz w:val="12"/>
                <w:szCs w:val="12"/>
              </w:rPr>
              <w:t>-8.4341 ***</w:t>
            </w:r>
          </w:p>
        </w:tc>
        <w:tc>
          <w:tcPr>
            <w:tcW w:w="708" w:type="dxa"/>
            <w:tcBorders>
              <w:top w:val="single" w:sz="4" w:space="0" w:color="000000"/>
              <w:left w:val="nil"/>
              <w:bottom w:val="nil"/>
              <w:right w:val="nil"/>
            </w:tcBorders>
          </w:tcPr>
          <w:p w14:paraId="7D223005" w14:textId="261D0B46" w:rsidR="00123639" w:rsidRPr="00123639" w:rsidRDefault="00123639" w:rsidP="005B5B0A">
            <w:pPr>
              <w:spacing w:line="259" w:lineRule="auto"/>
              <w:rPr>
                <w:rFonts w:cs="Times New Roman"/>
                <w:sz w:val="12"/>
                <w:szCs w:val="12"/>
              </w:rPr>
            </w:pPr>
            <w:r w:rsidRPr="00123639">
              <w:rPr>
                <w:rFonts w:cs="Times New Roman"/>
                <w:sz w:val="12"/>
                <w:szCs w:val="12"/>
              </w:rPr>
              <w:t>-10.2867 ***</w:t>
            </w:r>
          </w:p>
        </w:tc>
        <w:tc>
          <w:tcPr>
            <w:tcW w:w="709" w:type="dxa"/>
            <w:tcBorders>
              <w:top w:val="single" w:sz="4" w:space="0" w:color="000000"/>
              <w:left w:val="nil"/>
              <w:bottom w:val="nil"/>
              <w:right w:val="nil"/>
            </w:tcBorders>
          </w:tcPr>
          <w:p w14:paraId="23993291" w14:textId="7BFB2BA6" w:rsidR="00123639" w:rsidRPr="00123639" w:rsidRDefault="00123639" w:rsidP="005B5B0A">
            <w:pPr>
              <w:spacing w:line="259" w:lineRule="auto"/>
              <w:rPr>
                <w:rFonts w:cs="Times New Roman"/>
                <w:sz w:val="12"/>
                <w:szCs w:val="12"/>
              </w:rPr>
            </w:pPr>
            <w:r w:rsidRPr="00123639">
              <w:rPr>
                <w:rFonts w:cs="Times New Roman"/>
                <w:sz w:val="12"/>
                <w:szCs w:val="12"/>
              </w:rPr>
              <w:t>-9.1726 ***</w:t>
            </w:r>
          </w:p>
        </w:tc>
        <w:tc>
          <w:tcPr>
            <w:tcW w:w="851" w:type="dxa"/>
            <w:tcBorders>
              <w:top w:val="single" w:sz="4" w:space="0" w:color="000000"/>
              <w:left w:val="nil"/>
              <w:bottom w:val="nil"/>
              <w:right w:val="nil"/>
            </w:tcBorders>
          </w:tcPr>
          <w:p w14:paraId="4735BD2A" w14:textId="737DEB51" w:rsidR="00123639" w:rsidRPr="00123639" w:rsidRDefault="00123639" w:rsidP="005B5B0A">
            <w:pPr>
              <w:spacing w:line="259" w:lineRule="auto"/>
              <w:rPr>
                <w:rFonts w:cs="Times New Roman"/>
                <w:sz w:val="12"/>
                <w:szCs w:val="12"/>
              </w:rPr>
            </w:pPr>
            <w:r w:rsidRPr="00123639">
              <w:rPr>
                <w:rFonts w:cs="Times New Roman"/>
                <w:sz w:val="12"/>
                <w:szCs w:val="12"/>
              </w:rPr>
              <w:t>-11.0948 ***</w:t>
            </w:r>
          </w:p>
        </w:tc>
      </w:tr>
      <w:tr w:rsidR="00123639" w:rsidRPr="0064706A" w14:paraId="6CAA38FC" w14:textId="77777777" w:rsidTr="005B5B0A">
        <w:trPr>
          <w:cantSplit/>
          <w:trHeight w:val="170"/>
        </w:trPr>
        <w:tc>
          <w:tcPr>
            <w:tcW w:w="0" w:type="auto"/>
            <w:tcBorders>
              <w:top w:val="nil"/>
              <w:left w:val="nil"/>
              <w:bottom w:val="nil"/>
              <w:right w:val="nil"/>
            </w:tcBorders>
          </w:tcPr>
          <w:p w14:paraId="6437247B" w14:textId="77777777" w:rsidR="00123639" w:rsidRPr="00123639" w:rsidRDefault="00123639" w:rsidP="005B5B0A">
            <w:pPr>
              <w:spacing w:line="259" w:lineRule="auto"/>
              <w:rPr>
                <w:rFonts w:cs="Times New Roman"/>
                <w:sz w:val="12"/>
                <w:szCs w:val="12"/>
              </w:rPr>
            </w:pPr>
          </w:p>
        </w:tc>
        <w:tc>
          <w:tcPr>
            <w:tcW w:w="603" w:type="dxa"/>
            <w:tcBorders>
              <w:top w:val="nil"/>
              <w:left w:val="nil"/>
              <w:bottom w:val="nil"/>
              <w:right w:val="nil"/>
            </w:tcBorders>
          </w:tcPr>
          <w:p w14:paraId="327F709B" w14:textId="23D5DA47" w:rsidR="00123639" w:rsidRPr="00123639" w:rsidRDefault="00123639" w:rsidP="005B5B0A">
            <w:pPr>
              <w:spacing w:line="259" w:lineRule="auto"/>
              <w:rPr>
                <w:rFonts w:cs="Times New Roman"/>
                <w:sz w:val="12"/>
                <w:szCs w:val="12"/>
              </w:rPr>
            </w:pPr>
            <w:r w:rsidRPr="00123639">
              <w:rPr>
                <w:rFonts w:cs="Times New Roman"/>
                <w:sz w:val="12"/>
                <w:szCs w:val="12"/>
              </w:rPr>
              <w:t>(0.5305)</w:t>
            </w:r>
          </w:p>
        </w:tc>
        <w:tc>
          <w:tcPr>
            <w:tcW w:w="708" w:type="dxa"/>
            <w:tcBorders>
              <w:top w:val="nil"/>
              <w:left w:val="nil"/>
              <w:bottom w:val="nil"/>
              <w:right w:val="nil"/>
            </w:tcBorders>
          </w:tcPr>
          <w:p w14:paraId="5E0FAFB1" w14:textId="16B47274" w:rsidR="00123639" w:rsidRPr="00123639" w:rsidRDefault="00123639" w:rsidP="005B5B0A">
            <w:pPr>
              <w:spacing w:line="259" w:lineRule="auto"/>
              <w:rPr>
                <w:rFonts w:cs="Times New Roman"/>
                <w:sz w:val="12"/>
                <w:szCs w:val="12"/>
              </w:rPr>
            </w:pPr>
            <w:r w:rsidRPr="00123639">
              <w:rPr>
                <w:rFonts w:cs="Times New Roman"/>
                <w:sz w:val="12"/>
                <w:szCs w:val="12"/>
              </w:rPr>
              <w:t>(1.2322)</w:t>
            </w:r>
          </w:p>
        </w:tc>
        <w:tc>
          <w:tcPr>
            <w:tcW w:w="709" w:type="dxa"/>
            <w:tcBorders>
              <w:top w:val="nil"/>
              <w:left w:val="nil"/>
              <w:bottom w:val="nil"/>
              <w:right w:val="nil"/>
            </w:tcBorders>
          </w:tcPr>
          <w:p w14:paraId="1AD3FAC9" w14:textId="07E1ECBC" w:rsidR="00123639" w:rsidRPr="00123639" w:rsidRDefault="00123639" w:rsidP="005B5B0A">
            <w:pPr>
              <w:spacing w:line="259" w:lineRule="auto"/>
              <w:rPr>
                <w:rFonts w:cs="Times New Roman"/>
                <w:sz w:val="12"/>
                <w:szCs w:val="12"/>
              </w:rPr>
            </w:pPr>
            <w:r w:rsidRPr="00123639">
              <w:rPr>
                <w:rFonts w:cs="Times New Roman"/>
                <w:sz w:val="12"/>
                <w:szCs w:val="12"/>
              </w:rPr>
              <w:t>(1.5756)</w:t>
            </w:r>
          </w:p>
        </w:tc>
        <w:tc>
          <w:tcPr>
            <w:tcW w:w="851" w:type="dxa"/>
            <w:tcBorders>
              <w:top w:val="nil"/>
              <w:left w:val="nil"/>
              <w:bottom w:val="nil"/>
              <w:right w:val="nil"/>
            </w:tcBorders>
          </w:tcPr>
          <w:p w14:paraId="5148B08F" w14:textId="1B3FDB25" w:rsidR="00123639" w:rsidRPr="00123639" w:rsidRDefault="00123639" w:rsidP="005B5B0A">
            <w:pPr>
              <w:spacing w:line="259" w:lineRule="auto"/>
              <w:rPr>
                <w:rFonts w:cs="Times New Roman"/>
                <w:sz w:val="12"/>
                <w:szCs w:val="12"/>
              </w:rPr>
            </w:pPr>
            <w:r w:rsidRPr="00123639">
              <w:rPr>
                <w:rFonts w:cs="Times New Roman"/>
                <w:sz w:val="12"/>
                <w:szCs w:val="12"/>
              </w:rPr>
              <w:t>(1.7125)</w:t>
            </w:r>
          </w:p>
        </w:tc>
      </w:tr>
      <w:tr w:rsidR="00123639" w:rsidRPr="0064706A" w14:paraId="48464C2E" w14:textId="77777777" w:rsidTr="005B5B0A">
        <w:trPr>
          <w:cantSplit/>
          <w:trHeight w:val="170"/>
        </w:trPr>
        <w:tc>
          <w:tcPr>
            <w:tcW w:w="0" w:type="auto"/>
            <w:tcBorders>
              <w:top w:val="nil"/>
              <w:left w:val="nil"/>
              <w:bottom w:val="nil"/>
              <w:right w:val="nil"/>
            </w:tcBorders>
          </w:tcPr>
          <w:p w14:paraId="59590FFC" w14:textId="17A24D58" w:rsidR="00123639" w:rsidRPr="00123639" w:rsidRDefault="00123639" w:rsidP="005B5B0A">
            <w:pPr>
              <w:spacing w:line="259" w:lineRule="auto"/>
              <w:rPr>
                <w:rFonts w:cs="Times New Roman"/>
                <w:sz w:val="12"/>
                <w:szCs w:val="12"/>
              </w:rPr>
            </w:pPr>
            <w:r w:rsidRPr="00123639">
              <w:rPr>
                <w:rFonts w:cs="Times New Roman"/>
                <w:sz w:val="12"/>
                <w:szCs w:val="12"/>
              </w:rPr>
              <w:t>Interim policy change A (2009)</w:t>
            </w:r>
          </w:p>
        </w:tc>
        <w:tc>
          <w:tcPr>
            <w:tcW w:w="603" w:type="dxa"/>
            <w:tcBorders>
              <w:top w:val="nil"/>
              <w:left w:val="nil"/>
              <w:bottom w:val="nil"/>
              <w:right w:val="nil"/>
            </w:tcBorders>
          </w:tcPr>
          <w:p w14:paraId="48C71AE0" w14:textId="77777777" w:rsidR="00123639" w:rsidRPr="00123639" w:rsidRDefault="00123639" w:rsidP="005B5B0A">
            <w:pPr>
              <w:spacing w:line="259" w:lineRule="auto"/>
              <w:rPr>
                <w:rFonts w:cs="Times New Roman"/>
                <w:sz w:val="12"/>
                <w:szCs w:val="12"/>
              </w:rPr>
            </w:pPr>
          </w:p>
        </w:tc>
        <w:tc>
          <w:tcPr>
            <w:tcW w:w="708" w:type="dxa"/>
            <w:tcBorders>
              <w:top w:val="nil"/>
              <w:left w:val="nil"/>
              <w:bottom w:val="nil"/>
              <w:right w:val="nil"/>
            </w:tcBorders>
          </w:tcPr>
          <w:p w14:paraId="195EE589" w14:textId="2316A9B4" w:rsidR="00123639" w:rsidRPr="00123639" w:rsidRDefault="00123639" w:rsidP="005B5B0A">
            <w:pPr>
              <w:spacing w:line="259" w:lineRule="auto"/>
              <w:rPr>
                <w:rFonts w:cs="Times New Roman"/>
                <w:sz w:val="12"/>
                <w:szCs w:val="12"/>
              </w:rPr>
            </w:pPr>
            <w:r w:rsidRPr="00123639">
              <w:rPr>
                <w:rFonts w:cs="Times New Roman"/>
                <w:sz w:val="12"/>
                <w:szCs w:val="12"/>
              </w:rPr>
              <w:t>4.4843 ***</w:t>
            </w:r>
          </w:p>
        </w:tc>
        <w:tc>
          <w:tcPr>
            <w:tcW w:w="709" w:type="dxa"/>
            <w:tcBorders>
              <w:top w:val="nil"/>
              <w:left w:val="nil"/>
              <w:bottom w:val="nil"/>
              <w:right w:val="nil"/>
            </w:tcBorders>
          </w:tcPr>
          <w:p w14:paraId="68986A4C" w14:textId="3E35DAB6" w:rsidR="00123639" w:rsidRPr="00123639" w:rsidRDefault="00123639" w:rsidP="005B5B0A">
            <w:pPr>
              <w:spacing w:line="259" w:lineRule="auto"/>
              <w:rPr>
                <w:rFonts w:cs="Times New Roman"/>
                <w:sz w:val="12"/>
                <w:szCs w:val="12"/>
              </w:rPr>
            </w:pPr>
            <w:r w:rsidRPr="00123639">
              <w:rPr>
                <w:rFonts w:cs="Times New Roman"/>
                <w:sz w:val="12"/>
                <w:szCs w:val="12"/>
              </w:rPr>
              <w:t>4.6711 ***</w:t>
            </w:r>
          </w:p>
        </w:tc>
        <w:tc>
          <w:tcPr>
            <w:tcW w:w="851" w:type="dxa"/>
            <w:tcBorders>
              <w:top w:val="nil"/>
              <w:left w:val="nil"/>
              <w:bottom w:val="nil"/>
              <w:right w:val="nil"/>
            </w:tcBorders>
          </w:tcPr>
          <w:p w14:paraId="3A32C1EC" w14:textId="2F14649B" w:rsidR="00123639" w:rsidRPr="00123639" w:rsidRDefault="00123639" w:rsidP="005B5B0A">
            <w:pPr>
              <w:spacing w:line="259" w:lineRule="auto"/>
              <w:rPr>
                <w:rFonts w:cs="Times New Roman"/>
                <w:sz w:val="12"/>
                <w:szCs w:val="12"/>
              </w:rPr>
            </w:pPr>
            <w:r w:rsidRPr="00123639">
              <w:rPr>
                <w:rFonts w:cs="Times New Roman"/>
                <w:sz w:val="12"/>
                <w:szCs w:val="12"/>
              </w:rPr>
              <w:t>4.1186 ***</w:t>
            </w:r>
          </w:p>
        </w:tc>
      </w:tr>
      <w:tr w:rsidR="00123639" w:rsidRPr="0064706A" w14:paraId="1AB3A94E" w14:textId="77777777" w:rsidTr="005B5B0A">
        <w:trPr>
          <w:cantSplit/>
          <w:trHeight w:val="170"/>
        </w:trPr>
        <w:tc>
          <w:tcPr>
            <w:tcW w:w="0" w:type="auto"/>
            <w:tcBorders>
              <w:top w:val="nil"/>
              <w:left w:val="nil"/>
              <w:bottom w:val="nil"/>
              <w:right w:val="nil"/>
            </w:tcBorders>
          </w:tcPr>
          <w:p w14:paraId="4BE56B8F" w14:textId="77777777" w:rsidR="00123639" w:rsidRPr="00123639" w:rsidRDefault="00123639" w:rsidP="005B5B0A">
            <w:pPr>
              <w:spacing w:line="259" w:lineRule="auto"/>
              <w:rPr>
                <w:rFonts w:cs="Times New Roman"/>
                <w:sz w:val="12"/>
                <w:szCs w:val="12"/>
              </w:rPr>
            </w:pPr>
          </w:p>
        </w:tc>
        <w:tc>
          <w:tcPr>
            <w:tcW w:w="603" w:type="dxa"/>
            <w:tcBorders>
              <w:top w:val="nil"/>
              <w:left w:val="nil"/>
              <w:bottom w:val="nil"/>
              <w:right w:val="nil"/>
            </w:tcBorders>
          </w:tcPr>
          <w:p w14:paraId="3B5C278A" w14:textId="77777777" w:rsidR="00123639" w:rsidRPr="00123639" w:rsidRDefault="00123639" w:rsidP="005B5B0A">
            <w:pPr>
              <w:spacing w:line="259" w:lineRule="auto"/>
              <w:rPr>
                <w:rFonts w:cs="Times New Roman"/>
                <w:sz w:val="12"/>
                <w:szCs w:val="12"/>
              </w:rPr>
            </w:pPr>
          </w:p>
        </w:tc>
        <w:tc>
          <w:tcPr>
            <w:tcW w:w="708" w:type="dxa"/>
            <w:tcBorders>
              <w:top w:val="nil"/>
              <w:left w:val="nil"/>
              <w:bottom w:val="nil"/>
              <w:right w:val="nil"/>
            </w:tcBorders>
          </w:tcPr>
          <w:p w14:paraId="5965A3C3" w14:textId="71E29826" w:rsidR="00123639" w:rsidRPr="00123639" w:rsidRDefault="00123639" w:rsidP="005B5B0A">
            <w:pPr>
              <w:spacing w:line="259" w:lineRule="auto"/>
              <w:rPr>
                <w:rFonts w:cs="Times New Roman"/>
                <w:sz w:val="12"/>
                <w:szCs w:val="12"/>
              </w:rPr>
            </w:pPr>
            <w:r w:rsidRPr="00123639">
              <w:rPr>
                <w:rFonts w:cs="Times New Roman"/>
                <w:sz w:val="12"/>
                <w:szCs w:val="12"/>
              </w:rPr>
              <w:t>(1.3622)</w:t>
            </w:r>
          </w:p>
        </w:tc>
        <w:tc>
          <w:tcPr>
            <w:tcW w:w="709" w:type="dxa"/>
            <w:tcBorders>
              <w:top w:val="nil"/>
              <w:left w:val="nil"/>
              <w:bottom w:val="nil"/>
              <w:right w:val="nil"/>
            </w:tcBorders>
          </w:tcPr>
          <w:p w14:paraId="2B484662" w14:textId="519C408C" w:rsidR="00123639" w:rsidRPr="00123639" w:rsidRDefault="00123639" w:rsidP="005B5B0A">
            <w:pPr>
              <w:spacing w:line="259" w:lineRule="auto"/>
              <w:rPr>
                <w:rFonts w:cs="Times New Roman"/>
                <w:sz w:val="12"/>
                <w:szCs w:val="12"/>
              </w:rPr>
            </w:pPr>
            <w:r w:rsidRPr="00123639">
              <w:rPr>
                <w:rFonts w:cs="Times New Roman"/>
                <w:sz w:val="12"/>
                <w:szCs w:val="12"/>
              </w:rPr>
              <w:t>(1.5178)</w:t>
            </w:r>
          </w:p>
        </w:tc>
        <w:tc>
          <w:tcPr>
            <w:tcW w:w="851" w:type="dxa"/>
            <w:tcBorders>
              <w:top w:val="nil"/>
              <w:left w:val="nil"/>
              <w:bottom w:val="nil"/>
              <w:right w:val="nil"/>
            </w:tcBorders>
          </w:tcPr>
          <w:p w14:paraId="0EC0EF94" w14:textId="29C1153F" w:rsidR="00123639" w:rsidRPr="00123639" w:rsidRDefault="00123639" w:rsidP="005B5B0A">
            <w:pPr>
              <w:spacing w:line="259" w:lineRule="auto"/>
              <w:rPr>
                <w:rFonts w:cs="Times New Roman"/>
                <w:sz w:val="12"/>
                <w:szCs w:val="12"/>
              </w:rPr>
            </w:pPr>
            <w:r w:rsidRPr="00123639">
              <w:rPr>
                <w:rFonts w:cs="Times New Roman"/>
                <w:sz w:val="12"/>
                <w:szCs w:val="12"/>
              </w:rPr>
              <w:t>(1.5029)</w:t>
            </w:r>
          </w:p>
        </w:tc>
      </w:tr>
      <w:tr w:rsidR="00123639" w:rsidRPr="0064706A" w14:paraId="277EBBF4" w14:textId="77777777" w:rsidTr="005B5B0A">
        <w:trPr>
          <w:cantSplit/>
          <w:trHeight w:val="170"/>
        </w:trPr>
        <w:tc>
          <w:tcPr>
            <w:tcW w:w="0" w:type="auto"/>
            <w:tcBorders>
              <w:top w:val="nil"/>
              <w:left w:val="nil"/>
              <w:bottom w:val="nil"/>
              <w:right w:val="nil"/>
            </w:tcBorders>
          </w:tcPr>
          <w:p w14:paraId="7972D313" w14:textId="3DF3F74D" w:rsidR="00123639" w:rsidRPr="00123639" w:rsidRDefault="00123639" w:rsidP="005B5B0A">
            <w:pPr>
              <w:spacing w:line="259" w:lineRule="auto"/>
              <w:rPr>
                <w:rFonts w:cs="Times New Roman"/>
                <w:sz w:val="12"/>
                <w:szCs w:val="12"/>
              </w:rPr>
            </w:pPr>
            <w:r w:rsidRPr="00123639">
              <w:rPr>
                <w:rFonts w:cs="Times New Roman"/>
                <w:sz w:val="12"/>
                <w:szCs w:val="12"/>
              </w:rPr>
              <w:t>Scrappage scheme</w:t>
            </w:r>
          </w:p>
        </w:tc>
        <w:tc>
          <w:tcPr>
            <w:tcW w:w="603" w:type="dxa"/>
            <w:tcBorders>
              <w:top w:val="nil"/>
              <w:left w:val="nil"/>
              <w:bottom w:val="nil"/>
              <w:right w:val="nil"/>
            </w:tcBorders>
          </w:tcPr>
          <w:p w14:paraId="45187384" w14:textId="77777777" w:rsidR="00123639" w:rsidRPr="00123639" w:rsidRDefault="00123639" w:rsidP="005B5B0A">
            <w:pPr>
              <w:spacing w:line="259" w:lineRule="auto"/>
              <w:rPr>
                <w:rFonts w:cs="Times New Roman"/>
                <w:sz w:val="12"/>
                <w:szCs w:val="12"/>
              </w:rPr>
            </w:pPr>
          </w:p>
        </w:tc>
        <w:tc>
          <w:tcPr>
            <w:tcW w:w="708" w:type="dxa"/>
            <w:tcBorders>
              <w:top w:val="nil"/>
              <w:left w:val="nil"/>
              <w:bottom w:val="nil"/>
              <w:right w:val="nil"/>
            </w:tcBorders>
          </w:tcPr>
          <w:p w14:paraId="56147348" w14:textId="195A8900" w:rsidR="00123639" w:rsidRPr="00123639" w:rsidRDefault="00123639" w:rsidP="005B5B0A">
            <w:pPr>
              <w:spacing w:line="259" w:lineRule="auto"/>
              <w:rPr>
                <w:rFonts w:cs="Times New Roman"/>
                <w:sz w:val="12"/>
                <w:szCs w:val="12"/>
              </w:rPr>
            </w:pPr>
            <w:r w:rsidRPr="00123639">
              <w:rPr>
                <w:rFonts w:cs="Times New Roman"/>
                <w:sz w:val="12"/>
                <w:szCs w:val="12"/>
              </w:rPr>
              <w:t>-5.8059 ***</w:t>
            </w:r>
          </w:p>
        </w:tc>
        <w:tc>
          <w:tcPr>
            <w:tcW w:w="709" w:type="dxa"/>
            <w:tcBorders>
              <w:top w:val="nil"/>
              <w:left w:val="nil"/>
              <w:bottom w:val="nil"/>
              <w:right w:val="nil"/>
            </w:tcBorders>
          </w:tcPr>
          <w:p w14:paraId="6997734F" w14:textId="4993DA74" w:rsidR="00123639" w:rsidRPr="00123639" w:rsidRDefault="00123639" w:rsidP="005B5B0A">
            <w:pPr>
              <w:spacing w:line="259" w:lineRule="auto"/>
              <w:rPr>
                <w:rFonts w:cs="Times New Roman"/>
                <w:sz w:val="12"/>
                <w:szCs w:val="12"/>
              </w:rPr>
            </w:pPr>
            <w:r w:rsidRPr="00123639">
              <w:rPr>
                <w:rFonts w:cs="Times New Roman"/>
                <w:sz w:val="12"/>
                <w:szCs w:val="12"/>
              </w:rPr>
              <w:t>-6.5564 ***</w:t>
            </w:r>
          </w:p>
        </w:tc>
        <w:tc>
          <w:tcPr>
            <w:tcW w:w="851" w:type="dxa"/>
            <w:tcBorders>
              <w:top w:val="nil"/>
              <w:left w:val="nil"/>
              <w:bottom w:val="nil"/>
              <w:right w:val="nil"/>
            </w:tcBorders>
          </w:tcPr>
          <w:p w14:paraId="722F9BF3" w14:textId="077BEAE4" w:rsidR="00123639" w:rsidRPr="00123639" w:rsidRDefault="00123639" w:rsidP="005B5B0A">
            <w:pPr>
              <w:spacing w:line="259" w:lineRule="auto"/>
              <w:rPr>
                <w:rFonts w:cs="Times New Roman"/>
                <w:sz w:val="12"/>
                <w:szCs w:val="12"/>
              </w:rPr>
            </w:pPr>
            <w:r w:rsidRPr="00123639">
              <w:rPr>
                <w:rFonts w:cs="Times New Roman"/>
                <w:sz w:val="12"/>
                <w:szCs w:val="12"/>
              </w:rPr>
              <w:t>-6.2573 ***</w:t>
            </w:r>
          </w:p>
        </w:tc>
      </w:tr>
      <w:tr w:rsidR="00123639" w:rsidRPr="0064706A" w14:paraId="3C7ADA5B" w14:textId="77777777" w:rsidTr="005B5B0A">
        <w:trPr>
          <w:cantSplit/>
          <w:trHeight w:val="170"/>
        </w:trPr>
        <w:tc>
          <w:tcPr>
            <w:tcW w:w="0" w:type="auto"/>
            <w:tcBorders>
              <w:top w:val="nil"/>
              <w:left w:val="nil"/>
              <w:bottom w:val="nil"/>
              <w:right w:val="nil"/>
            </w:tcBorders>
          </w:tcPr>
          <w:p w14:paraId="43FD5116" w14:textId="77777777" w:rsidR="00123639" w:rsidRPr="00123639" w:rsidRDefault="00123639" w:rsidP="005B5B0A">
            <w:pPr>
              <w:spacing w:line="259" w:lineRule="auto"/>
              <w:rPr>
                <w:rFonts w:cs="Times New Roman"/>
                <w:sz w:val="12"/>
                <w:szCs w:val="12"/>
              </w:rPr>
            </w:pPr>
          </w:p>
        </w:tc>
        <w:tc>
          <w:tcPr>
            <w:tcW w:w="603" w:type="dxa"/>
            <w:tcBorders>
              <w:top w:val="nil"/>
              <w:left w:val="nil"/>
              <w:bottom w:val="nil"/>
              <w:right w:val="nil"/>
            </w:tcBorders>
          </w:tcPr>
          <w:p w14:paraId="681CA3D6" w14:textId="77777777" w:rsidR="00123639" w:rsidRPr="00123639" w:rsidRDefault="00123639" w:rsidP="005B5B0A">
            <w:pPr>
              <w:spacing w:line="259" w:lineRule="auto"/>
              <w:rPr>
                <w:rFonts w:cs="Times New Roman"/>
                <w:sz w:val="12"/>
                <w:szCs w:val="12"/>
              </w:rPr>
            </w:pPr>
          </w:p>
        </w:tc>
        <w:tc>
          <w:tcPr>
            <w:tcW w:w="708" w:type="dxa"/>
            <w:tcBorders>
              <w:top w:val="nil"/>
              <w:left w:val="nil"/>
              <w:bottom w:val="nil"/>
              <w:right w:val="nil"/>
            </w:tcBorders>
          </w:tcPr>
          <w:p w14:paraId="2DC649B2" w14:textId="61B2A6EC" w:rsidR="00123639" w:rsidRPr="00123639" w:rsidRDefault="00123639" w:rsidP="005B5B0A">
            <w:pPr>
              <w:spacing w:line="259" w:lineRule="auto"/>
              <w:rPr>
                <w:rFonts w:cs="Times New Roman"/>
                <w:sz w:val="12"/>
                <w:szCs w:val="12"/>
              </w:rPr>
            </w:pPr>
            <w:r w:rsidRPr="00123639">
              <w:rPr>
                <w:rFonts w:cs="Times New Roman"/>
                <w:sz w:val="12"/>
                <w:szCs w:val="12"/>
              </w:rPr>
              <w:t>(0.9632)</w:t>
            </w:r>
          </w:p>
        </w:tc>
        <w:tc>
          <w:tcPr>
            <w:tcW w:w="709" w:type="dxa"/>
            <w:tcBorders>
              <w:top w:val="nil"/>
              <w:left w:val="nil"/>
              <w:bottom w:val="nil"/>
              <w:right w:val="nil"/>
            </w:tcBorders>
          </w:tcPr>
          <w:p w14:paraId="2B05FC4B" w14:textId="180AA56C" w:rsidR="00123639" w:rsidRPr="00123639" w:rsidRDefault="00123639" w:rsidP="005B5B0A">
            <w:pPr>
              <w:spacing w:line="259" w:lineRule="auto"/>
              <w:rPr>
                <w:rFonts w:cs="Times New Roman"/>
                <w:sz w:val="12"/>
                <w:szCs w:val="12"/>
              </w:rPr>
            </w:pPr>
            <w:r w:rsidRPr="00123639">
              <w:rPr>
                <w:rFonts w:cs="Times New Roman"/>
                <w:sz w:val="12"/>
                <w:szCs w:val="12"/>
              </w:rPr>
              <w:t>(1.0403)</w:t>
            </w:r>
          </w:p>
        </w:tc>
        <w:tc>
          <w:tcPr>
            <w:tcW w:w="851" w:type="dxa"/>
            <w:tcBorders>
              <w:top w:val="nil"/>
              <w:left w:val="nil"/>
              <w:bottom w:val="nil"/>
              <w:right w:val="nil"/>
            </w:tcBorders>
          </w:tcPr>
          <w:p w14:paraId="1FAC9FCA" w14:textId="1610F6C6" w:rsidR="00123639" w:rsidRPr="00123639" w:rsidRDefault="00123639" w:rsidP="005B5B0A">
            <w:pPr>
              <w:spacing w:line="259" w:lineRule="auto"/>
              <w:rPr>
                <w:rFonts w:cs="Times New Roman"/>
                <w:sz w:val="12"/>
                <w:szCs w:val="12"/>
              </w:rPr>
            </w:pPr>
            <w:r w:rsidRPr="00123639">
              <w:rPr>
                <w:rFonts w:cs="Times New Roman"/>
                <w:sz w:val="12"/>
                <w:szCs w:val="12"/>
              </w:rPr>
              <w:t>(1.0262)</w:t>
            </w:r>
          </w:p>
        </w:tc>
      </w:tr>
      <w:tr w:rsidR="00123639" w:rsidRPr="0064706A" w14:paraId="63BB9FAB" w14:textId="77777777" w:rsidTr="005B5B0A">
        <w:trPr>
          <w:cantSplit/>
          <w:trHeight w:val="170"/>
        </w:trPr>
        <w:tc>
          <w:tcPr>
            <w:tcW w:w="0" w:type="auto"/>
            <w:tcBorders>
              <w:top w:val="nil"/>
              <w:left w:val="nil"/>
              <w:bottom w:val="nil"/>
              <w:right w:val="nil"/>
            </w:tcBorders>
          </w:tcPr>
          <w:p w14:paraId="5017A3F5" w14:textId="286CFABA" w:rsidR="00123639" w:rsidRPr="00123639" w:rsidRDefault="00123639" w:rsidP="005B5B0A">
            <w:pPr>
              <w:spacing w:line="259" w:lineRule="auto"/>
              <w:rPr>
                <w:rFonts w:cs="Times New Roman"/>
                <w:sz w:val="12"/>
                <w:szCs w:val="12"/>
              </w:rPr>
            </w:pPr>
            <w:r w:rsidRPr="00123639">
              <w:rPr>
                <w:rFonts w:cs="Times New Roman"/>
                <w:sz w:val="12"/>
                <w:szCs w:val="12"/>
              </w:rPr>
              <w:t>Interim policy change B (2012)</w:t>
            </w:r>
          </w:p>
        </w:tc>
        <w:tc>
          <w:tcPr>
            <w:tcW w:w="603" w:type="dxa"/>
            <w:tcBorders>
              <w:top w:val="nil"/>
              <w:left w:val="nil"/>
              <w:bottom w:val="nil"/>
              <w:right w:val="nil"/>
            </w:tcBorders>
          </w:tcPr>
          <w:p w14:paraId="35F9D21C" w14:textId="77777777" w:rsidR="00123639" w:rsidRPr="00123639" w:rsidRDefault="00123639" w:rsidP="005B5B0A">
            <w:pPr>
              <w:spacing w:line="259" w:lineRule="auto"/>
              <w:rPr>
                <w:rFonts w:cs="Times New Roman"/>
                <w:sz w:val="12"/>
                <w:szCs w:val="12"/>
              </w:rPr>
            </w:pPr>
          </w:p>
        </w:tc>
        <w:tc>
          <w:tcPr>
            <w:tcW w:w="708" w:type="dxa"/>
            <w:tcBorders>
              <w:top w:val="nil"/>
              <w:left w:val="nil"/>
              <w:bottom w:val="nil"/>
              <w:right w:val="nil"/>
            </w:tcBorders>
          </w:tcPr>
          <w:p w14:paraId="4BFE496C" w14:textId="3C29D0B2" w:rsidR="00123639" w:rsidRPr="00123639" w:rsidRDefault="00123639" w:rsidP="005B5B0A">
            <w:pPr>
              <w:spacing w:line="259" w:lineRule="auto"/>
              <w:rPr>
                <w:rFonts w:cs="Times New Roman"/>
                <w:sz w:val="12"/>
                <w:szCs w:val="12"/>
              </w:rPr>
            </w:pPr>
            <w:r w:rsidRPr="00123639">
              <w:rPr>
                <w:rFonts w:cs="Times New Roman"/>
                <w:sz w:val="12"/>
                <w:szCs w:val="12"/>
              </w:rPr>
              <w:t>-2.0461 *</w:t>
            </w:r>
          </w:p>
        </w:tc>
        <w:tc>
          <w:tcPr>
            <w:tcW w:w="709" w:type="dxa"/>
            <w:tcBorders>
              <w:top w:val="nil"/>
              <w:left w:val="nil"/>
              <w:bottom w:val="nil"/>
              <w:right w:val="nil"/>
            </w:tcBorders>
          </w:tcPr>
          <w:p w14:paraId="7553987C" w14:textId="22FA9692" w:rsidR="00123639" w:rsidRPr="00123639" w:rsidRDefault="00123639" w:rsidP="005B5B0A">
            <w:pPr>
              <w:spacing w:line="259" w:lineRule="auto"/>
              <w:rPr>
                <w:rFonts w:cs="Times New Roman"/>
                <w:sz w:val="12"/>
                <w:szCs w:val="12"/>
              </w:rPr>
            </w:pPr>
            <w:r w:rsidRPr="00123639">
              <w:rPr>
                <w:rFonts w:cs="Times New Roman"/>
                <w:sz w:val="12"/>
                <w:szCs w:val="12"/>
              </w:rPr>
              <w:t>-2.4954 **</w:t>
            </w:r>
          </w:p>
        </w:tc>
        <w:tc>
          <w:tcPr>
            <w:tcW w:w="851" w:type="dxa"/>
            <w:tcBorders>
              <w:top w:val="nil"/>
              <w:left w:val="nil"/>
              <w:bottom w:val="nil"/>
              <w:right w:val="nil"/>
            </w:tcBorders>
          </w:tcPr>
          <w:p w14:paraId="230DCE9A" w14:textId="7C5F4A04" w:rsidR="00123639" w:rsidRPr="00123639" w:rsidRDefault="00123639" w:rsidP="005B5B0A">
            <w:pPr>
              <w:spacing w:line="259" w:lineRule="auto"/>
              <w:rPr>
                <w:rFonts w:cs="Times New Roman"/>
                <w:sz w:val="12"/>
                <w:szCs w:val="12"/>
              </w:rPr>
            </w:pPr>
            <w:r w:rsidRPr="00123639">
              <w:rPr>
                <w:rFonts w:cs="Times New Roman"/>
                <w:sz w:val="12"/>
                <w:szCs w:val="12"/>
              </w:rPr>
              <w:t>-3.3853 ***</w:t>
            </w:r>
          </w:p>
        </w:tc>
      </w:tr>
      <w:tr w:rsidR="00123639" w:rsidRPr="0064706A" w14:paraId="1E97AC6E" w14:textId="77777777" w:rsidTr="005B5B0A">
        <w:trPr>
          <w:cantSplit/>
          <w:trHeight w:val="170"/>
        </w:trPr>
        <w:tc>
          <w:tcPr>
            <w:tcW w:w="0" w:type="auto"/>
            <w:tcBorders>
              <w:top w:val="nil"/>
              <w:left w:val="nil"/>
              <w:bottom w:val="nil"/>
              <w:right w:val="nil"/>
            </w:tcBorders>
          </w:tcPr>
          <w:p w14:paraId="2FE94607" w14:textId="77777777" w:rsidR="00123639" w:rsidRPr="00123639" w:rsidRDefault="00123639" w:rsidP="005B5B0A">
            <w:pPr>
              <w:spacing w:line="259" w:lineRule="auto"/>
              <w:rPr>
                <w:rFonts w:cs="Times New Roman"/>
                <w:sz w:val="12"/>
                <w:szCs w:val="12"/>
              </w:rPr>
            </w:pPr>
          </w:p>
        </w:tc>
        <w:tc>
          <w:tcPr>
            <w:tcW w:w="603" w:type="dxa"/>
            <w:tcBorders>
              <w:top w:val="nil"/>
              <w:left w:val="nil"/>
              <w:bottom w:val="nil"/>
              <w:right w:val="nil"/>
            </w:tcBorders>
          </w:tcPr>
          <w:p w14:paraId="23304B65" w14:textId="77777777" w:rsidR="00123639" w:rsidRPr="00123639" w:rsidRDefault="00123639" w:rsidP="005B5B0A">
            <w:pPr>
              <w:spacing w:line="259" w:lineRule="auto"/>
              <w:rPr>
                <w:rFonts w:cs="Times New Roman"/>
                <w:sz w:val="12"/>
                <w:szCs w:val="12"/>
              </w:rPr>
            </w:pPr>
          </w:p>
        </w:tc>
        <w:tc>
          <w:tcPr>
            <w:tcW w:w="708" w:type="dxa"/>
            <w:tcBorders>
              <w:top w:val="nil"/>
              <w:left w:val="nil"/>
              <w:bottom w:val="nil"/>
              <w:right w:val="nil"/>
            </w:tcBorders>
          </w:tcPr>
          <w:p w14:paraId="0EC914CC" w14:textId="28A1D755" w:rsidR="00123639" w:rsidRPr="00123639" w:rsidRDefault="00123639" w:rsidP="005B5B0A">
            <w:pPr>
              <w:spacing w:line="259" w:lineRule="auto"/>
              <w:rPr>
                <w:rFonts w:cs="Times New Roman"/>
                <w:sz w:val="12"/>
                <w:szCs w:val="12"/>
              </w:rPr>
            </w:pPr>
            <w:r w:rsidRPr="00123639">
              <w:rPr>
                <w:rFonts w:cs="Times New Roman"/>
                <w:sz w:val="12"/>
                <w:szCs w:val="12"/>
              </w:rPr>
              <w:t>(1.0769)</w:t>
            </w:r>
          </w:p>
        </w:tc>
        <w:tc>
          <w:tcPr>
            <w:tcW w:w="709" w:type="dxa"/>
            <w:tcBorders>
              <w:top w:val="nil"/>
              <w:left w:val="nil"/>
              <w:bottom w:val="nil"/>
              <w:right w:val="nil"/>
            </w:tcBorders>
          </w:tcPr>
          <w:p w14:paraId="532F84F0" w14:textId="070CA4FE" w:rsidR="00123639" w:rsidRPr="00123639" w:rsidRDefault="00123639" w:rsidP="005B5B0A">
            <w:pPr>
              <w:spacing w:line="259" w:lineRule="auto"/>
              <w:rPr>
                <w:rFonts w:cs="Times New Roman"/>
                <w:sz w:val="12"/>
                <w:szCs w:val="12"/>
              </w:rPr>
            </w:pPr>
            <w:r w:rsidRPr="00123639">
              <w:rPr>
                <w:rFonts w:cs="Times New Roman"/>
                <w:sz w:val="12"/>
                <w:szCs w:val="12"/>
              </w:rPr>
              <w:t>(1.1108)</w:t>
            </w:r>
          </w:p>
        </w:tc>
        <w:tc>
          <w:tcPr>
            <w:tcW w:w="851" w:type="dxa"/>
            <w:tcBorders>
              <w:top w:val="nil"/>
              <w:left w:val="nil"/>
              <w:bottom w:val="nil"/>
              <w:right w:val="nil"/>
            </w:tcBorders>
          </w:tcPr>
          <w:p w14:paraId="610BD92E" w14:textId="3E11C37E" w:rsidR="00123639" w:rsidRPr="00123639" w:rsidRDefault="00123639" w:rsidP="005B5B0A">
            <w:pPr>
              <w:spacing w:line="259" w:lineRule="auto"/>
              <w:rPr>
                <w:rFonts w:cs="Times New Roman"/>
                <w:sz w:val="12"/>
                <w:szCs w:val="12"/>
              </w:rPr>
            </w:pPr>
            <w:r w:rsidRPr="00123639">
              <w:rPr>
                <w:rFonts w:cs="Times New Roman"/>
                <w:sz w:val="12"/>
                <w:szCs w:val="12"/>
              </w:rPr>
              <w:t>(1.1415)</w:t>
            </w:r>
          </w:p>
        </w:tc>
      </w:tr>
      <w:tr w:rsidR="00123639" w:rsidRPr="0064706A" w14:paraId="73AD344B" w14:textId="77777777" w:rsidTr="005B5B0A">
        <w:trPr>
          <w:cantSplit/>
          <w:trHeight w:val="170"/>
        </w:trPr>
        <w:tc>
          <w:tcPr>
            <w:tcW w:w="0" w:type="auto"/>
            <w:tcBorders>
              <w:top w:val="nil"/>
              <w:left w:val="nil"/>
              <w:bottom w:val="nil"/>
              <w:right w:val="nil"/>
            </w:tcBorders>
          </w:tcPr>
          <w:p w14:paraId="3BBEAEF5" w14:textId="024D9797" w:rsidR="00123639" w:rsidRPr="00123639" w:rsidRDefault="00123639" w:rsidP="005B5B0A">
            <w:pPr>
              <w:spacing w:line="259" w:lineRule="auto"/>
              <w:rPr>
                <w:rFonts w:cs="Times New Roman"/>
                <w:sz w:val="12"/>
                <w:szCs w:val="12"/>
              </w:rPr>
            </w:pPr>
            <w:r w:rsidRPr="00123639">
              <w:rPr>
                <w:rFonts w:cs="Times New Roman"/>
                <w:sz w:val="12"/>
                <w:szCs w:val="12"/>
              </w:rPr>
              <w:t>Final Policy Change (2013)</w:t>
            </w:r>
          </w:p>
        </w:tc>
        <w:tc>
          <w:tcPr>
            <w:tcW w:w="603" w:type="dxa"/>
            <w:tcBorders>
              <w:top w:val="nil"/>
              <w:left w:val="nil"/>
              <w:bottom w:val="nil"/>
              <w:right w:val="nil"/>
            </w:tcBorders>
          </w:tcPr>
          <w:p w14:paraId="1D4AD349" w14:textId="77777777" w:rsidR="00123639" w:rsidRPr="00123639" w:rsidRDefault="00123639" w:rsidP="005B5B0A">
            <w:pPr>
              <w:spacing w:line="259" w:lineRule="auto"/>
              <w:rPr>
                <w:rFonts w:cs="Times New Roman"/>
                <w:sz w:val="12"/>
                <w:szCs w:val="12"/>
              </w:rPr>
            </w:pPr>
          </w:p>
        </w:tc>
        <w:tc>
          <w:tcPr>
            <w:tcW w:w="708" w:type="dxa"/>
            <w:tcBorders>
              <w:top w:val="nil"/>
              <w:left w:val="nil"/>
              <w:bottom w:val="nil"/>
              <w:right w:val="nil"/>
            </w:tcBorders>
          </w:tcPr>
          <w:p w14:paraId="5A9848AC" w14:textId="745DB21B" w:rsidR="00123639" w:rsidRPr="00123639" w:rsidRDefault="00123639" w:rsidP="005B5B0A">
            <w:pPr>
              <w:spacing w:line="259" w:lineRule="auto"/>
              <w:rPr>
                <w:rFonts w:cs="Times New Roman"/>
                <w:sz w:val="12"/>
                <w:szCs w:val="12"/>
              </w:rPr>
            </w:pPr>
            <w:r w:rsidRPr="00123639">
              <w:rPr>
                <w:rFonts w:cs="Times New Roman"/>
                <w:sz w:val="12"/>
                <w:szCs w:val="12"/>
              </w:rPr>
              <w:t>-0.1239</w:t>
            </w:r>
          </w:p>
        </w:tc>
        <w:tc>
          <w:tcPr>
            <w:tcW w:w="709" w:type="dxa"/>
            <w:tcBorders>
              <w:top w:val="nil"/>
              <w:left w:val="nil"/>
              <w:bottom w:val="nil"/>
              <w:right w:val="nil"/>
            </w:tcBorders>
          </w:tcPr>
          <w:p w14:paraId="1F28CE52" w14:textId="4C35CE8C" w:rsidR="00123639" w:rsidRPr="00123639" w:rsidRDefault="00123639" w:rsidP="005B5B0A">
            <w:pPr>
              <w:spacing w:line="259" w:lineRule="auto"/>
              <w:rPr>
                <w:rFonts w:cs="Times New Roman"/>
                <w:sz w:val="12"/>
                <w:szCs w:val="12"/>
              </w:rPr>
            </w:pPr>
            <w:r w:rsidRPr="00123639">
              <w:rPr>
                <w:rFonts w:cs="Times New Roman"/>
                <w:sz w:val="12"/>
                <w:szCs w:val="12"/>
              </w:rPr>
              <w:t>0.1249</w:t>
            </w:r>
          </w:p>
        </w:tc>
        <w:tc>
          <w:tcPr>
            <w:tcW w:w="851" w:type="dxa"/>
            <w:tcBorders>
              <w:top w:val="nil"/>
              <w:left w:val="nil"/>
              <w:bottom w:val="nil"/>
              <w:right w:val="nil"/>
            </w:tcBorders>
          </w:tcPr>
          <w:p w14:paraId="7B7FDF7A" w14:textId="3FFEA704" w:rsidR="00123639" w:rsidRPr="00123639" w:rsidRDefault="00123639" w:rsidP="005B5B0A">
            <w:pPr>
              <w:spacing w:line="259" w:lineRule="auto"/>
              <w:rPr>
                <w:rFonts w:cs="Times New Roman"/>
                <w:sz w:val="12"/>
                <w:szCs w:val="12"/>
              </w:rPr>
            </w:pPr>
            <w:r w:rsidRPr="00123639">
              <w:rPr>
                <w:rFonts w:cs="Times New Roman"/>
                <w:sz w:val="12"/>
                <w:szCs w:val="12"/>
              </w:rPr>
              <w:t>-0.9659</w:t>
            </w:r>
          </w:p>
        </w:tc>
      </w:tr>
      <w:tr w:rsidR="00123639" w:rsidRPr="0064706A" w14:paraId="0DA392AD" w14:textId="77777777" w:rsidTr="005B5B0A">
        <w:trPr>
          <w:cantSplit/>
          <w:trHeight w:val="170"/>
        </w:trPr>
        <w:tc>
          <w:tcPr>
            <w:tcW w:w="0" w:type="auto"/>
            <w:tcBorders>
              <w:top w:val="nil"/>
              <w:left w:val="nil"/>
              <w:bottom w:val="nil"/>
              <w:right w:val="nil"/>
            </w:tcBorders>
          </w:tcPr>
          <w:p w14:paraId="56BC0D84" w14:textId="77777777" w:rsidR="00123639" w:rsidRPr="00123639" w:rsidRDefault="00123639" w:rsidP="005B5B0A">
            <w:pPr>
              <w:spacing w:line="259" w:lineRule="auto"/>
              <w:rPr>
                <w:rFonts w:cs="Times New Roman"/>
                <w:sz w:val="12"/>
                <w:szCs w:val="12"/>
              </w:rPr>
            </w:pPr>
          </w:p>
        </w:tc>
        <w:tc>
          <w:tcPr>
            <w:tcW w:w="603" w:type="dxa"/>
            <w:tcBorders>
              <w:top w:val="nil"/>
              <w:left w:val="nil"/>
              <w:bottom w:val="nil"/>
              <w:right w:val="nil"/>
            </w:tcBorders>
          </w:tcPr>
          <w:p w14:paraId="075F6CEE" w14:textId="77777777" w:rsidR="00123639" w:rsidRPr="00123639" w:rsidRDefault="00123639" w:rsidP="005B5B0A">
            <w:pPr>
              <w:spacing w:line="259" w:lineRule="auto"/>
              <w:rPr>
                <w:rFonts w:cs="Times New Roman"/>
                <w:sz w:val="12"/>
                <w:szCs w:val="12"/>
              </w:rPr>
            </w:pPr>
          </w:p>
        </w:tc>
        <w:tc>
          <w:tcPr>
            <w:tcW w:w="708" w:type="dxa"/>
            <w:tcBorders>
              <w:top w:val="nil"/>
              <w:left w:val="nil"/>
              <w:bottom w:val="nil"/>
              <w:right w:val="nil"/>
            </w:tcBorders>
          </w:tcPr>
          <w:p w14:paraId="72E2901E" w14:textId="45632AC6" w:rsidR="00123639" w:rsidRPr="00123639" w:rsidRDefault="00123639" w:rsidP="005B5B0A">
            <w:pPr>
              <w:spacing w:line="259" w:lineRule="auto"/>
              <w:rPr>
                <w:rFonts w:cs="Times New Roman"/>
                <w:sz w:val="12"/>
                <w:szCs w:val="12"/>
              </w:rPr>
            </w:pPr>
            <w:r w:rsidRPr="00123639">
              <w:rPr>
                <w:rFonts w:cs="Times New Roman"/>
                <w:sz w:val="12"/>
                <w:szCs w:val="12"/>
              </w:rPr>
              <w:t>(0.987)</w:t>
            </w:r>
          </w:p>
        </w:tc>
        <w:tc>
          <w:tcPr>
            <w:tcW w:w="709" w:type="dxa"/>
            <w:tcBorders>
              <w:top w:val="nil"/>
              <w:left w:val="nil"/>
              <w:bottom w:val="nil"/>
              <w:right w:val="nil"/>
            </w:tcBorders>
          </w:tcPr>
          <w:p w14:paraId="78BFCECC" w14:textId="510A78CC" w:rsidR="00123639" w:rsidRPr="00123639" w:rsidRDefault="00123639" w:rsidP="005B5B0A">
            <w:pPr>
              <w:spacing w:line="259" w:lineRule="auto"/>
              <w:rPr>
                <w:rFonts w:cs="Times New Roman"/>
                <w:sz w:val="12"/>
                <w:szCs w:val="12"/>
              </w:rPr>
            </w:pPr>
            <w:r w:rsidRPr="00123639">
              <w:rPr>
                <w:rFonts w:cs="Times New Roman"/>
                <w:sz w:val="12"/>
                <w:szCs w:val="12"/>
              </w:rPr>
              <w:t>(1.0086)</w:t>
            </w:r>
          </w:p>
        </w:tc>
        <w:tc>
          <w:tcPr>
            <w:tcW w:w="851" w:type="dxa"/>
            <w:tcBorders>
              <w:top w:val="nil"/>
              <w:left w:val="nil"/>
              <w:bottom w:val="nil"/>
              <w:right w:val="nil"/>
            </w:tcBorders>
          </w:tcPr>
          <w:p w14:paraId="716D6AB5" w14:textId="5080E940" w:rsidR="00123639" w:rsidRPr="00123639" w:rsidRDefault="00123639" w:rsidP="005B5B0A">
            <w:pPr>
              <w:spacing w:line="259" w:lineRule="auto"/>
              <w:rPr>
                <w:rFonts w:cs="Times New Roman"/>
                <w:sz w:val="12"/>
                <w:szCs w:val="12"/>
              </w:rPr>
            </w:pPr>
            <w:r w:rsidRPr="00123639">
              <w:rPr>
                <w:rFonts w:cs="Times New Roman"/>
                <w:sz w:val="12"/>
                <w:szCs w:val="12"/>
              </w:rPr>
              <w:t>(1.0741)</w:t>
            </w:r>
          </w:p>
        </w:tc>
      </w:tr>
      <w:tr w:rsidR="00123639" w:rsidRPr="0064706A" w14:paraId="088B0C92" w14:textId="77777777" w:rsidTr="005B5B0A">
        <w:trPr>
          <w:cantSplit/>
          <w:trHeight w:val="170"/>
        </w:trPr>
        <w:tc>
          <w:tcPr>
            <w:tcW w:w="0" w:type="auto"/>
            <w:tcBorders>
              <w:top w:val="nil"/>
              <w:left w:val="nil"/>
              <w:right w:val="nil"/>
            </w:tcBorders>
          </w:tcPr>
          <w:p w14:paraId="573EA022" w14:textId="0B70FE5B" w:rsidR="00123639" w:rsidRPr="00123639" w:rsidRDefault="00123639" w:rsidP="005B5B0A">
            <w:pPr>
              <w:spacing w:line="259" w:lineRule="auto"/>
              <w:rPr>
                <w:rFonts w:cs="Times New Roman"/>
                <w:sz w:val="12"/>
                <w:szCs w:val="12"/>
              </w:rPr>
            </w:pPr>
            <w:r>
              <w:rPr>
                <w:sz w:val="12"/>
                <w:szCs w:val="12"/>
              </w:rPr>
              <w:t>Country-specific controls</w:t>
            </w:r>
          </w:p>
        </w:tc>
        <w:tc>
          <w:tcPr>
            <w:tcW w:w="603" w:type="dxa"/>
            <w:tcBorders>
              <w:top w:val="nil"/>
              <w:left w:val="nil"/>
              <w:right w:val="nil"/>
            </w:tcBorders>
          </w:tcPr>
          <w:p w14:paraId="1892156A" w14:textId="08DA9100" w:rsidR="00123639" w:rsidRPr="00123639" w:rsidRDefault="00123639" w:rsidP="005B5B0A">
            <w:pPr>
              <w:spacing w:line="259" w:lineRule="auto"/>
              <w:rPr>
                <w:rFonts w:cs="Times New Roman"/>
                <w:sz w:val="12"/>
                <w:szCs w:val="12"/>
              </w:rPr>
            </w:pPr>
            <w:r>
              <w:rPr>
                <w:sz w:val="12"/>
                <w:szCs w:val="12"/>
              </w:rPr>
              <w:t>No</w:t>
            </w:r>
          </w:p>
        </w:tc>
        <w:tc>
          <w:tcPr>
            <w:tcW w:w="708" w:type="dxa"/>
            <w:tcBorders>
              <w:top w:val="nil"/>
              <w:left w:val="nil"/>
              <w:right w:val="nil"/>
            </w:tcBorders>
          </w:tcPr>
          <w:p w14:paraId="374C4DEA" w14:textId="43F9595C" w:rsidR="00123639" w:rsidRPr="00123639" w:rsidRDefault="00123639" w:rsidP="005B5B0A">
            <w:pPr>
              <w:spacing w:line="259" w:lineRule="auto"/>
              <w:rPr>
                <w:rFonts w:cs="Times New Roman"/>
                <w:sz w:val="12"/>
                <w:szCs w:val="12"/>
              </w:rPr>
            </w:pPr>
            <w:r>
              <w:rPr>
                <w:sz w:val="12"/>
                <w:szCs w:val="12"/>
              </w:rPr>
              <w:t>No</w:t>
            </w:r>
          </w:p>
        </w:tc>
        <w:tc>
          <w:tcPr>
            <w:tcW w:w="709" w:type="dxa"/>
            <w:tcBorders>
              <w:top w:val="nil"/>
              <w:left w:val="nil"/>
              <w:right w:val="nil"/>
            </w:tcBorders>
          </w:tcPr>
          <w:p w14:paraId="0555CBA6" w14:textId="4FE5E647" w:rsidR="00123639" w:rsidRPr="00123639" w:rsidRDefault="00123639" w:rsidP="005B5B0A">
            <w:pPr>
              <w:spacing w:line="259" w:lineRule="auto"/>
              <w:rPr>
                <w:rFonts w:cs="Times New Roman"/>
                <w:sz w:val="12"/>
                <w:szCs w:val="12"/>
              </w:rPr>
            </w:pPr>
            <w:r>
              <w:rPr>
                <w:sz w:val="12"/>
                <w:szCs w:val="12"/>
              </w:rPr>
              <w:t>Yes</w:t>
            </w:r>
          </w:p>
        </w:tc>
        <w:tc>
          <w:tcPr>
            <w:tcW w:w="851" w:type="dxa"/>
            <w:tcBorders>
              <w:top w:val="nil"/>
              <w:left w:val="nil"/>
              <w:right w:val="nil"/>
            </w:tcBorders>
          </w:tcPr>
          <w:p w14:paraId="47725747" w14:textId="41C0130D" w:rsidR="00123639" w:rsidRPr="00123639" w:rsidRDefault="00123639" w:rsidP="005B5B0A">
            <w:pPr>
              <w:spacing w:line="259" w:lineRule="auto"/>
              <w:rPr>
                <w:rFonts w:cs="Times New Roman"/>
                <w:sz w:val="12"/>
                <w:szCs w:val="12"/>
              </w:rPr>
            </w:pPr>
            <w:r>
              <w:rPr>
                <w:sz w:val="12"/>
                <w:szCs w:val="12"/>
              </w:rPr>
              <w:t>Yes</w:t>
            </w:r>
          </w:p>
        </w:tc>
      </w:tr>
      <w:tr w:rsidR="00123639" w:rsidRPr="0064706A" w14:paraId="6FD28108" w14:textId="77777777" w:rsidTr="005B5B0A">
        <w:trPr>
          <w:cantSplit/>
          <w:trHeight w:val="170"/>
        </w:trPr>
        <w:tc>
          <w:tcPr>
            <w:tcW w:w="0" w:type="auto"/>
            <w:tcBorders>
              <w:top w:val="nil"/>
              <w:left w:val="nil"/>
              <w:bottom w:val="single" w:sz="4" w:space="0" w:color="auto"/>
              <w:right w:val="nil"/>
            </w:tcBorders>
          </w:tcPr>
          <w:p w14:paraId="596E0558" w14:textId="00A7AAB9" w:rsidR="00123639" w:rsidRPr="00123639" w:rsidRDefault="00123639" w:rsidP="005B5B0A">
            <w:pPr>
              <w:spacing w:line="259" w:lineRule="auto"/>
              <w:rPr>
                <w:rFonts w:cs="Times New Roman"/>
                <w:sz w:val="12"/>
                <w:szCs w:val="12"/>
              </w:rPr>
            </w:pPr>
            <w:r w:rsidRPr="0064706A">
              <w:rPr>
                <w:sz w:val="12"/>
                <w:szCs w:val="12"/>
              </w:rPr>
              <w:t>Country-specific trend</w:t>
            </w:r>
          </w:p>
        </w:tc>
        <w:tc>
          <w:tcPr>
            <w:tcW w:w="603" w:type="dxa"/>
            <w:tcBorders>
              <w:top w:val="nil"/>
              <w:left w:val="nil"/>
              <w:bottom w:val="single" w:sz="4" w:space="0" w:color="auto"/>
              <w:right w:val="nil"/>
            </w:tcBorders>
          </w:tcPr>
          <w:p w14:paraId="6CCFE5AC" w14:textId="3B4D3C3F" w:rsidR="00123639" w:rsidRPr="00123639" w:rsidRDefault="00123639" w:rsidP="005B5B0A">
            <w:pPr>
              <w:spacing w:line="259" w:lineRule="auto"/>
              <w:rPr>
                <w:rFonts w:cs="Times New Roman"/>
                <w:sz w:val="12"/>
                <w:szCs w:val="12"/>
              </w:rPr>
            </w:pPr>
            <w:r w:rsidRPr="0064706A">
              <w:rPr>
                <w:sz w:val="12"/>
                <w:szCs w:val="12"/>
              </w:rPr>
              <w:t>No</w:t>
            </w:r>
          </w:p>
        </w:tc>
        <w:tc>
          <w:tcPr>
            <w:tcW w:w="708" w:type="dxa"/>
            <w:tcBorders>
              <w:top w:val="nil"/>
              <w:left w:val="nil"/>
              <w:bottom w:val="single" w:sz="4" w:space="0" w:color="auto"/>
              <w:right w:val="nil"/>
            </w:tcBorders>
          </w:tcPr>
          <w:p w14:paraId="7EAAD61E" w14:textId="1D0D09D7" w:rsidR="00123639" w:rsidRPr="00123639" w:rsidRDefault="00123639" w:rsidP="005B5B0A">
            <w:pPr>
              <w:spacing w:line="259" w:lineRule="auto"/>
              <w:rPr>
                <w:rFonts w:cs="Times New Roman"/>
                <w:sz w:val="12"/>
                <w:szCs w:val="12"/>
              </w:rPr>
            </w:pPr>
            <w:r w:rsidRPr="0064706A">
              <w:rPr>
                <w:sz w:val="12"/>
                <w:szCs w:val="12"/>
              </w:rPr>
              <w:t>No</w:t>
            </w:r>
          </w:p>
        </w:tc>
        <w:tc>
          <w:tcPr>
            <w:tcW w:w="709" w:type="dxa"/>
            <w:tcBorders>
              <w:top w:val="nil"/>
              <w:left w:val="nil"/>
              <w:bottom w:val="single" w:sz="4" w:space="0" w:color="auto"/>
              <w:right w:val="nil"/>
            </w:tcBorders>
          </w:tcPr>
          <w:p w14:paraId="7AE5269E" w14:textId="183F50F4" w:rsidR="00123639" w:rsidRPr="00123639" w:rsidRDefault="00123639" w:rsidP="005B5B0A">
            <w:pPr>
              <w:spacing w:line="259" w:lineRule="auto"/>
              <w:rPr>
                <w:rFonts w:cs="Times New Roman"/>
                <w:sz w:val="12"/>
                <w:szCs w:val="12"/>
              </w:rPr>
            </w:pPr>
            <w:r w:rsidRPr="0064706A">
              <w:rPr>
                <w:sz w:val="12"/>
                <w:szCs w:val="12"/>
              </w:rPr>
              <w:t>No</w:t>
            </w:r>
          </w:p>
        </w:tc>
        <w:tc>
          <w:tcPr>
            <w:tcW w:w="851" w:type="dxa"/>
            <w:tcBorders>
              <w:top w:val="nil"/>
              <w:left w:val="nil"/>
              <w:bottom w:val="single" w:sz="4" w:space="0" w:color="auto"/>
              <w:right w:val="nil"/>
            </w:tcBorders>
          </w:tcPr>
          <w:p w14:paraId="440786FD" w14:textId="50115DEE" w:rsidR="00123639" w:rsidRPr="00123639" w:rsidRDefault="00123639" w:rsidP="005B5B0A">
            <w:pPr>
              <w:spacing w:line="259" w:lineRule="auto"/>
              <w:rPr>
                <w:rFonts w:cs="Times New Roman"/>
                <w:sz w:val="12"/>
                <w:szCs w:val="12"/>
              </w:rPr>
            </w:pPr>
            <w:r w:rsidRPr="0064706A">
              <w:rPr>
                <w:sz w:val="12"/>
                <w:szCs w:val="12"/>
              </w:rPr>
              <w:t>Yes</w:t>
            </w:r>
          </w:p>
        </w:tc>
      </w:tr>
      <w:tr w:rsidR="00123639" w:rsidRPr="0064706A" w14:paraId="25977ED6" w14:textId="77777777" w:rsidTr="005B5B0A">
        <w:trPr>
          <w:cantSplit/>
          <w:trHeight w:val="57"/>
        </w:trPr>
        <w:tc>
          <w:tcPr>
            <w:tcW w:w="2127" w:type="dxa"/>
            <w:gridSpan w:val="2"/>
            <w:tcBorders>
              <w:top w:val="single" w:sz="4" w:space="0" w:color="auto"/>
              <w:left w:val="nil"/>
              <w:bottom w:val="nil"/>
              <w:right w:val="nil"/>
            </w:tcBorders>
          </w:tcPr>
          <w:p w14:paraId="79AD0A09" w14:textId="77777777" w:rsidR="00123639" w:rsidRPr="00E71A7A" w:rsidRDefault="00123639" w:rsidP="005B5B0A">
            <w:pPr>
              <w:rPr>
                <w:sz w:val="10"/>
                <w:szCs w:val="12"/>
              </w:rPr>
            </w:pPr>
            <w:r w:rsidRPr="00E71A7A">
              <w:rPr>
                <w:sz w:val="10"/>
              </w:rPr>
              <w:t xml:space="preserve">*** Statistically significant at </w:t>
            </w:r>
            <w:r w:rsidRPr="00E71A7A">
              <w:rPr>
                <w:i/>
                <w:sz w:val="10"/>
              </w:rPr>
              <w:t>p&lt;</w:t>
            </w:r>
            <w:r w:rsidRPr="00E71A7A">
              <w:rPr>
                <w:sz w:val="10"/>
              </w:rPr>
              <w:t>0.01</w:t>
            </w:r>
          </w:p>
        </w:tc>
        <w:tc>
          <w:tcPr>
            <w:tcW w:w="708" w:type="dxa"/>
            <w:tcBorders>
              <w:top w:val="single" w:sz="4" w:space="0" w:color="auto"/>
              <w:left w:val="nil"/>
              <w:bottom w:val="nil"/>
              <w:right w:val="nil"/>
            </w:tcBorders>
          </w:tcPr>
          <w:p w14:paraId="7E66FE77" w14:textId="77777777" w:rsidR="00123639" w:rsidRPr="00E71A7A" w:rsidRDefault="00123639" w:rsidP="005B5B0A">
            <w:pPr>
              <w:spacing w:line="259" w:lineRule="auto"/>
              <w:rPr>
                <w:sz w:val="8"/>
                <w:szCs w:val="12"/>
              </w:rPr>
            </w:pPr>
          </w:p>
        </w:tc>
        <w:tc>
          <w:tcPr>
            <w:tcW w:w="709" w:type="dxa"/>
            <w:tcBorders>
              <w:top w:val="single" w:sz="4" w:space="0" w:color="auto"/>
              <w:left w:val="nil"/>
              <w:bottom w:val="nil"/>
              <w:right w:val="nil"/>
            </w:tcBorders>
          </w:tcPr>
          <w:p w14:paraId="503D1D88" w14:textId="77777777" w:rsidR="00123639" w:rsidRPr="00E71A7A" w:rsidRDefault="00123639" w:rsidP="005B5B0A">
            <w:pPr>
              <w:spacing w:line="259" w:lineRule="auto"/>
              <w:rPr>
                <w:sz w:val="8"/>
                <w:szCs w:val="12"/>
              </w:rPr>
            </w:pPr>
          </w:p>
        </w:tc>
        <w:tc>
          <w:tcPr>
            <w:tcW w:w="851" w:type="dxa"/>
            <w:tcBorders>
              <w:top w:val="single" w:sz="4" w:space="0" w:color="auto"/>
              <w:left w:val="nil"/>
              <w:bottom w:val="nil"/>
              <w:right w:val="nil"/>
            </w:tcBorders>
          </w:tcPr>
          <w:p w14:paraId="53A2BF73" w14:textId="77777777" w:rsidR="00123639" w:rsidRPr="00E71A7A" w:rsidRDefault="00123639" w:rsidP="005B5B0A">
            <w:pPr>
              <w:spacing w:line="259" w:lineRule="auto"/>
              <w:rPr>
                <w:sz w:val="8"/>
                <w:szCs w:val="12"/>
              </w:rPr>
            </w:pPr>
          </w:p>
        </w:tc>
      </w:tr>
      <w:tr w:rsidR="00123639" w:rsidRPr="0064706A" w14:paraId="79B66F83" w14:textId="77777777" w:rsidTr="005B5B0A">
        <w:trPr>
          <w:cantSplit/>
          <w:trHeight w:val="57"/>
        </w:trPr>
        <w:tc>
          <w:tcPr>
            <w:tcW w:w="2127" w:type="dxa"/>
            <w:gridSpan w:val="2"/>
            <w:tcBorders>
              <w:top w:val="nil"/>
              <w:left w:val="nil"/>
              <w:bottom w:val="nil"/>
              <w:right w:val="nil"/>
            </w:tcBorders>
          </w:tcPr>
          <w:p w14:paraId="3FE9AC56" w14:textId="77777777" w:rsidR="00123639" w:rsidRPr="00E71A7A" w:rsidRDefault="00123639" w:rsidP="005B5B0A">
            <w:pPr>
              <w:rPr>
                <w:sz w:val="10"/>
                <w:szCs w:val="12"/>
              </w:rPr>
            </w:pPr>
            <w:r w:rsidRPr="00E71A7A">
              <w:rPr>
                <w:sz w:val="10"/>
                <w:szCs w:val="12"/>
              </w:rPr>
              <w:t xml:space="preserve">** Statistically significant at </w:t>
            </w:r>
            <w:r w:rsidRPr="00E71A7A">
              <w:rPr>
                <w:i/>
                <w:sz w:val="10"/>
              </w:rPr>
              <w:t>p&lt;</w:t>
            </w:r>
            <w:r w:rsidRPr="00E71A7A">
              <w:rPr>
                <w:sz w:val="10"/>
              </w:rPr>
              <w:t>0.05</w:t>
            </w:r>
          </w:p>
        </w:tc>
        <w:tc>
          <w:tcPr>
            <w:tcW w:w="708" w:type="dxa"/>
            <w:tcBorders>
              <w:top w:val="nil"/>
              <w:left w:val="nil"/>
              <w:bottom w:val="nil"/>
              <w:right w:val="nil"/>
            </w:tcBorders>
          </w:tcPr>
          <w:p w14:paraId="02853BDC" w14:textId="77777777" w:rsidR="00123639" w:rsidRPr="00E71A7A" w:rsidRDefault="00123639" w:rsidP="005B5B0A">
            <w:pPr>
              <w:spacing w:line="259" w:lineRule="auto"/>
              <w:rPr>
                <w:sz w:val="8"/>
                <w:szCs w:val="12"/>
              </w:rPr>
            </w:pPr>
          </w:p>
        </w:tc>
        <w:tc>
          <w:tcPr>
            <w:tcW w:w="709" w:type="dxa"/>
            <w:tcBorders>
              <w:top w:val="nil"/>
              <w:left w:val="nil"/>
              <w:bottom w:val="nil"/>
              <w:right w:val="nil"/>
            </w:tcBorders>
          </w:tcPr>
          <w:p w14:paraId="4C560784" w14:textId="77777777" w:rsidR="00123639" w:rsidRPr="00E71A7A" w:rsidRDefault="00123639" w:rsidP="005B5B0A">
            <w:pPr>
              <w:spacing w:line="259" w:lineRule="auto"/>
              <w:rPr>
                <w:sz w:val="8"/>
                <w:szCs w:val="12"/>
              </w:rPr>
            </w:pPr>
          </w:p>
        </w:tc>
        <w:tc>
          <w:tcPr>
            <w:tcW w:w="851" w:type="dxa"/>
            <w:tcBorders>
              <w:top w:val="nil"/>
              <w:left w:val="nil"/>
              <w:bottom w:val="nil"/>
              <w:right w:val="nil"/>
            </w:tcBorders>
          </w:tcPr>
          <w:p w14:paraId="1B6B2D52" w14:textId="77777777" w:rsidR="00123639" w:rsidRPr="00E71A7A" w:rsidRDefault="00123639" w:rsidP="005B5B0A">
            <w:pPr>
              <w:spacing w:line="259" w:lineRule="auto"/>
              <w:rPr>
                <w:sz w:val="8"/>
                <w:szCs w:val="12"/>
              </w:rPr>
            </w:pPr>
          </w:p>
        </w:tc>
      </w:tr>
      <w:tr w:rsidR="00123639" w:rsidRPr="0064706A" w14:paraId="2AA625A2" w14:textId="77777777" w:rsidTr="005B5B0A">
        <w:trPr>
          <w:cantSplit/>
          <w:trHeight w:val="57"/>
        </w:trPr>
        <w:tc>
          <w:tcPr>
            <w:tcW w:w="2127" w:type="dxa"/>
            <w:gridSpan w:val="2"/>
            <w:tcBorders>
              <w:top w:val="nil"/>
              <w:left w:val="nil"/>
              <w:bottom w:val="nil"/>
              <w:right w:val="nil"/>
            </w:tcBorders>
          </w:tcPr>
          <w:p w14:paraId="66E0F4CA" w14:textId="77777777" w:rsidR="00123639" w:rsidRPr="00E71A7A" w:rsidRDefault="00123639" w:rsidP="005B5B0A">
            <w:pPr>
              <w:rPr>
                <w:sz w:val="10"/>
                <w:szCs w:val="12"/>
              </w:rPr>
            </w:pPr>
            <w:r w:rsidRPr="00E71A7A">
              <w:rPr>
                <w:sz w:val="10"/>
                <w:szCs w:val="12"/>
              </w:rPr>
              <w:t xml:space="preserve">* Statistically significant at </w:t>
            </w:r>
            <w:r w:rsidRPr="00E71A7A">
              <w:rPr>
                <w:i/>
                <w:sz w:val="10"/>
              </w:rPr>
              <w:t>p&lt;</w:t>
            </w:r>
            <w:r w:rsidRPr="00E71A7A">
              <w:rPr>
                <w:sz w:val="10"/>
              </w:rPr>
              <w:t>0.1</w:t>
            </w:r>
          </w:p>
        </w:tc>
        <w:tc>
          <w:tcPr>
            <w:tcW w:w="708" w:type="dxa"/>
            <w:tcBorders>
              <w:top w:val="nil"/>
              <w:left w:val="nil"/>
              <w:bottom w:val="nil"/>
              <w:right w:val="nil"/>
            </w:tcBorders>
          </w:tcPr>
          <w:p w14:paraId="5F1BE17E" w14:textId="77777777" w:rsidR="00123639" w:rsidRPr="00E71A7A" w:rsidRDefault="00123639" w:rsidP="005B5B0A">
            <w:pPr>
              <w:spacing w:line="259" w:lineRule="auto"/>
              <w:rPr>
                <w:sz w:val="8"/>
                <w:szCs w:val="12"/>
              </w:rPr>
            </w:pPr>
          </w:p>
        </w:tc>
        <w:tc>
          <w:tcPr>
            <w:tcW w:w="709" w:type="dxa"/>
            <w:tcBorders>
              <w:top w:val="nil"/>
              <w:left w:val="nil"/>
              <w:bottom w:val="nil"/>
              <w:right w:val="nil"/>
            </w:tcBorders>
          </w:tcPr>
          <w:p w14:paraId="4BA67F21" w14:textId="77777777" w:rsidR="00123639" w:rsidRPr="00E71A7A" w:rsidRDefault="00123639" w:rsidP="005B5B0A">
            <w:pPr>
              <w:spacing w:line="259" w:lineRule="auto"/>
              <w:rPr>
                <w:sz w:val="8"/>
                <w:szCs w:val="12"/>
              </w:rPr>
            </w:pPr>
          </w:p>
        </w:tc>
        <w:tc>
          <w:tcPr>
            <w:tcW w:w="851" w:type="dxa"/>
            <w:tcBorders>
              <w:top w:val="nil"/>
              <w:left w:val="nil"/>
              <w:bottom w:val="nil"/>
              <w:right w:val="nil"/>
            </w:tcBorders>
          </w:tcPr>
          <w:p w14:paraId="4D680575" w14:textId="77777777" w:rsidR="00123639" w:rsidRPr="00E71A7A" w:rsidRDefault="00123639" w:rsidP="005B5B0A">
            <w:pPr>
              <w:spacing w:line="259" w:lineRule="auto"/>
              <w:rPr>
                <w:sz w:val="8"/>
                <w:szCs w:val="12"/>
              </w:rPr>
            </w:pPr>
          </w:p>
        </w:tc>
      </w:tr>
    </w:tbl>
    <w:p w14:paraId="36FC2412" w14:textId="77777777" w:rsidR="00E71A7A" w:rsidRDefault="00E71A7A" w:rsidP="00E61AB6"/>
    <w:p w14:paraId="648BAEC5" w14:textId="4865DA1F" w:rsidR="00E61AB6" w:rsidRDefault="00D40198" w:rsidP="00E61AB6">
      <w:r>
        <w:t xml:space="preserve">Next, we apply the same analysis </w:t>
      </w:r>
      <w:r w:rsidR="00E61AB6">
        <w:t>using vehicle fuel type as our dependent variable (presented in Figure 2). The findings suggest a strong and sustained move from petrol-powered vehicles to diesel-powered vehicles as a result of the initial policy change.</w:t>
      </w:r>
      <w:r w:rsidR="00CE16C5">
        <w:t xml:space="preserve"> We estimate the size of this shift to be between 1</w:t>
      </w:r>
      <w:r w:rsidR="00B41265">
        <w:t>8</w:t>
      </w:r>
      <w:r w:rsidR="00CE16C5">
        <w:t>-35% depending on our specification</w:t>
      </w:r>
      <w:r w:rsidR="00704A32">
        <w:t xml:space="preserve"> (Table 3)</w:t>
      </w:r>
      <w:r w:rsidR="00CE16C5">
        <w:t>. As before, the initial policy change appears to be the main driver in influencing consumer vehicle purchasing preferences</w:t>
      </w:r>
      <w:r w:rsidR="003643F0">
        <w:t>, however, some subsequent policy changes (in particular Interim Policy Change A) also appear to have had a significant effect.</w:t>
      </w:r>
      <w:r w:rsidR="00CE16C5">
        <w:t xml:space="preserve"> </w:t>
      </w:r>
    </w:p>
    <w:p w14:paraId="50911F0E" w14:textId="6EB7437A" w:rsidR="00DC69F1" w:rsidRPr="00D767DA" w:rsidRDefault="00DC69F1">
      <w:pPr>
        <w:pStyle w:val="Heading2"/>
        <w:jc w:val="both"/>
        <w:rPr>
          <w:i w:val="0"/>
          <w:sz w:val="24"/>
          <w:szCs w:val="24"/>
        </w:rPr>
      </w:pPr>
      <w:r w:rsidRPr="00D767DA">
        <w:rPr>
          <w:i w:val="0"/>
          <w:sz w:val="24"/>
          <w:szCs w:val="24"/>
        </w:rPr>
        <w:t>Conclusions</w:t>
      </w:r>
    </w:p>
    <w:p w14:paraId="72852EFA" w14:textId="6FEA1514" w:rsidR="00DC69F1" w:rsidRDefault="001826C6" w:rsidP="00E61AB6">
      <w:r>
        <w:t>The findings suggest that the initial policy change in 2008 is responsible for reducing rated emissions of newly registered passenger cars in Ireland</w:t>
      </w:r>
      <w:r w:rsidR="00CE16C5">
        <w:t>, relative to the counterfactual of no change.</w:t>
      </w:r>
      <w:r>
        <w:t xml:space="preserve"> Some subsequent policy changes (such as the introduction of a scrappage scheme) have also had an effect at stimulating the purchase of less emitting vehicles. When looking at the effect of the policy on passenger car fleet composition however, we find that this decrease in rated emissions is driven by a significant shift towards diesel-powered vehicles, which may substitute CO</w:t>
      </w:r>
      <w:r w:rsidRPr="00CE16C5">
        <w:rPr>
          <w:vertAlign w:val="subscript"/>
        </w:rPr>
        <w:t>2</w:t>
      </w:r>
      <w:r>
        <w:t xml:space="preserve"> emissions for other types of pollutants such as NOx.</w:t>
      </w:r>
    </w:p>
    <w:sectPr w:rsidR="00DC69F1" w:rsidSect="00FC73E0">
      <w:headerReference w:type="first" r:id="rId12"/>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67381" w14:textId="77777777" w:rsidR="00692A08" w:rsidRDefault="00692A08">
      <w:r>
        <w:separator/>
      </w:r>
    </w:p>
  </w:endnote>
  <w:endnote w:type="continuationSeparator" w:id="0">
    <w:p w14:paraId="78D6CD0A" w14:textId="77777777" w:rsidR="00692A08" w:rsidRDefault="0069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316FC" w14:textId="77777777" w:rsidR="00692A08" w:rsidRDefault="00692A08">
      <w:r>
        <w:separator/>
      </w:r>
    </w:p>
  </w:footnote>
  <w:footnote w:type="continuationSeparator" w:id="0">
    <w:p w14:paraId="788F3AF9" w14:textId="77777777" w:rsidR="00692A08" w:rsidRDefault="0069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7502"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47BC61D2">
      <w:start w:val="1"/>
      <w:numFmt w:val="bullet"/>
      <w:lvlText w:val=""/>
      <w:lvlJc w:val="left"/>
      <w:pPr>
        <w:tabs>
          <w:tab w:val="num" w:pos="720"/>
        </w:tabs>
        <w:ind w:left="720" w:hanging="360"/>
      </w:pPr>
      <w:rPr>
        <w:rFonts w:ascii="Symbol" w:hAnsi="Symbol" w:hint="default"/>
      </w:rPr>
    </w:lvl>
    <w:lvl w:ilvl="1" w:tplc="3C1A2A2E">
      <w:start w:val="1"/>
      <w:numFmt w:val="bullet"/>
      <w:lvlText w:val="o"/>
      <w:lvlJc w:val="left"/>
      <w:pPr>
        <w:tabs>
          <w:tab w:val="num" w:pos="1440"/>
        </w:tabs>
        <w:ind w:left="1440" w:hanging="360"/>
      </w:pPr>
      <w:rPr>
        <w:rFonts w:ascii="Courier New" w:hAnsi="Courier New" w:hint="default"/>
      </w:rPr>
    </w:lvl>
    <w:lvl w:ilvl="2" w:tplc="A816E2BA" w:tentative="1">
      <w:start w:val="1"/>
      <w:numFmt w:val="bullet"/>
      <w:lvlText w:val=""/>
      <w:lvlJc w:val="left"/>
      <w:pPr>
        <w:tabs>
          <w:tab w:val="num" w:pos="2160"/>
        </w:tabs>
        <w:ind w:left="2160" w:hanging="360"/>
      </w:pPr>
      <w:rPr>
        <w:rFonts w:ascii="Wingdings" w:hAnsi="Wingdings" w:hint="default"/>
      </w:rPr>
    </w:lvl>
    <w:lvl w:ilvl="3" w:tplc="A4F86BAA" w:tentative="1">
      <w:start w:val="1"/>
      <w:numFmt w:val="bullet"/>
      <w:lvlText w:val=""/>
      <w:lvlJc w:val="left"/>
      <w:pPr>
        <w:tabs>
          <w:tab w:val="num" w:pos="2880"/>
        </w:tabs>
        <w:ind w:left="2880" w:hanging="360"/>
      </w:pPr>
      <w:rPr>
        <w:rFonts w:ascii="Symbol" w:hAnsi="Symbol" w:hint="default"/>
      </w:rPr>
    </w:lvl>
    <w:lvl w:ilvl="4" w:tplc="B1EE993A" w:tentative="1">
      <w:start w:val="1"/>
      <w:numFmt w:val="bullet"/>
      <w:lvlText w:val="o"/>
      <w:lvlJc w:val="left"/>
      <w:pPr>
        <w:tabs>
          <w:tab w:val="num" w:pos="3600"/>
        </w:tabs>
        <w:ind w:left="3600" w:hanging="360"/>
      </w:pPr>
      <w:rPr>
        <w:rFonts w:ascii="Courier New" w:hAnsi="Courier New" w:hint="default"/>
      </w:rPr>
    </w:lvl>
    <w:lvl w:ilvl="5" w:tplc="E1A6511C" w:tentative="1">
      <w:start w:val="1"/>
      <w:numFmt w:val="bullet"/>
      <w:lvlText w:val=""/>
      <w:lvlJc w:val="left"/>
      <w:pPr>
        <w:tabs>
          <w:tab w:val="num" w:pos="4320"/>
        </w:tabs>
        <w:ind w:left="4320" w:hanging="360"/>
      </w:pPr>
      <w:rPr>
        <w:rFonts w:ascii="Wingdings" w:hAnsi="Wingdings" w:hint="default"/>
      </w:rPr>
    </w:lvl>
    <w:lvl w:ilvl="6" w:tplc="0B82BA2E" w:tentative="1">
      <w:start w:val="1"/>
      <w:numFmt w:val="bullet"/>
      <w:lvlText w:val=""/>
      <w:lvlJc w:val="left"/>
      <w:pPr>
        <w:tabs>
          <w:tab w:val="num" w:pos="5040"/>
        </w:tabs>
        <w:ind w:left="5040" w:hanging="360"/>
      </w:pPr>
      <w:rPr>
        <w:rFonts w:ascii="Symbol" w:hAnsi="Symbol" w:hint="default"/>
      </w:rPr>
    </w:lvl>
    <w:lvl w:ilvl="7" w:tplc="FBF46714" w:tentative="1">
      <w:start w:val="1"/>
      <w:numFmt w:val="bullet"/>
      <w:lvlText w:val="o"/>
      <w:lvlJc w:val="left"/>
      <w:pPr>
        <w:tabs>
          <w:tab w:val="num" w:pos="5760"/>
        </w:tabs>
        <w:ind w:left="5760" w:hanging="360"/>
      </w:pPr>
      <w:rPr>
        <w:rFonts w:ascii="Courier New" w:hAnsi="Courier New" w:hint="default"/>
      </w:rPr>
    </w:lvl>
    <w:lvl w:ilvl="8" w:tplc="EB98E4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D2268414">
      <w:start w:val="1"/>
      <w:numFmt w:val="lowerRoman"/>
      <w:lvlText w:val="%1.)"/>
      <w:lvlJc w:val="left"/>
      <w:pPr>
        <w:tabs>
          <w:tab w:val="num" w:pos="540"/>
        </w:tabs>
        <w:ind w:left="255" w:hanging="435"/>
      </w:pPr>
      <w:rPr>
        <w:rFonts w:hint="default"/>
      </w:rPr>
    </w:lvl>
    <w:lvl w:ilvl="1" w:tplc="53A69EAC" w:tentative="1">
      <w:start w:val="1"/>
      <w:numFmt w:val="lowerLetter"/>
      <w:lvlText w:val="%2."/>
      <w:lvlJc w:val="left"/>
      <w:pPr>
        <w:tabs>
          <w:tab w:val="num" w:pos="1260"/>
        </w:tabs>
        <w:ind w:left="1260" w:hanging="360"/>
      </w:pPr>
    </w:lvl>
    <w:lvl w:ilvl="2" w:tplc="B60EDDD6" w:tentative="1">
      <w:start w:val="1"/>
      <w:numFmt w:val="lowerRoman"/>
      <w:lvlText w:val="%3."/>
      <w:lvlJc w:val="right"/>
      <w:pPr>
        <w:tabs>
          <w:tab w:val="num" w:pos="1980"/>
        </w:tabs>
        <w:ind w:left="1980" w:hanging="180"/>
      </w:pPr>
    </w:lvl>
    <w:lvl w:ilvl="3" w:tplc="E0FCE462" w:tentative="1">
      <w:start w:val="1"/>
      <w:numFmt w:val="decimal"/>
      <w:lvlText w:val="%4."/>
      <w:lvlJc w:val="left"/>
      <w:pPr>
        <w:tabs>
          <w:tab w:val="num" w:pos="2700"/>
        </w:tabs>
        <w:ind w:left="2700" w:hanging="360"/>
      </w:pPr>
    </w:lvl>
    <w:lvl w:ilvl="4" w:tplc="2B6AE420" w:tentative="1">
      <w:start w:val="1"/>
      <w:numFmt w:val="lowerLetter"/>
      <w:lvlText w:val="%5."/>
      <w:lvlJc w:val="left"/>
      <w:pPr>
        <w:tabs>
          <w:tab w:val="num" w:pos="3420"/>
        </w:tabs>
        <w:ind w:left="3420" w:hanging="360"/>
      </w:pPr>
    </w:lvl>
    <w:lvl w:ilvl="5" w:tplc="226E5256" w:tentative="1">
      <w:start w:val="1"/>
      <w:numFmt w:val="lowerRoman"/>
      <w:lvlText w:val="%6."/>
      <w:lvlJc w:val="right"/>
      <w:pPr>
        <w:tabs>
          <w:tab w:val="num" w:pos="4140"/>
        </w:tabs>
        <w:ind w:left="4140" w:hanging="180"/>
      </w:pPr>
    </w:lvl>
    <w:lvl w:ilvl="6" w:tplc="1038A5EE" w:tentative="1">
      <w:start w:val="1"/>
      <w:numFmt w:val="decimal"/>
      <w:lvlText w:val="%7."/>
      <w:lvlJc w:val="left"/>
      <w:pPr>
        <w:tabs>
          <w:tab w:val="num" w:pos="4860"/>
        </w:tabs>
        <w:ind w:left="4860" w:hanging="360"/>
      </w:pPr>
    </w:lvl>
    <w:lvl w:ilvl="7" w:tplc="33F49468" w:tentative="1">
      <w:start w:val="1"/>
      <w:numFmt w:val="lowerLetter"/>
      <w:lvlText w:val="%8."/>
      <w:lvlJc w:val="left"/>
      <w:pPr>
        <w:tabs>
          <w:tab w:val="num" w:pos="5580"/>
        </w:tabs>
        <w:ind w:left="5580" w:hanging="360"/>
      </w:pPr>
    </w:lvl>
    <w:lvl w:ilvl="8" w:tplc="C6962532"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19923C24">
      <w:start w:val="1"/>
      <w:numFmt w:val="bullet"/>
      <w:lvlText w:val=""/>
      <w:lvlJc w:val="left"/>
      <w:pPr>
        <w:tabs>
          <w:tab w:val="num" w:pos="720"/>
        </w:tabs>
        <w:ind w:left="720" w:hanging="360"/>
      </w:pPr>
      <w:rPr>
        <w:rFonts w:ascii="Symbol" w:hAnsi="Symbol" w:hint="default"/>
      </w:rPr>
    </w:lvl>
    <w:lvl w:ilvl="1" w:tplc="BD7A7A82" w:tentative="1">
      <w:start w:val="1"/>
      <w:numFmt w:val="bullet"/>
      <w:lvlText w:val="o"/>
      <w:lvlJc w:val="left"/>
      <w:pPr>
        <w:tabs>
          <w:tab w:val="num" w:pos="1440"/>
        </w:tabs>
        <w:ind w:left="1440" w:hanging="360"/>
      </w:pPr>
      <w:rPr>
        <w:rFonts w:ascii="Courier New" w:hAnsi="Courier New" w:hint="default"/>
      </w:rPr>
    </w:lvl>
    <w:lvl w:ilvl="2" w:tplc="651AEF4E" w:tentative="1">
      <w:start w:val="1"/>
      <w:numFmt w:val="bullet"/>
      <w:lvlText w:val=""/>
      <w:lvlJc w:val="left"/>
      <w:pPr>
        <w:tabs>
          <w:tab w:val="num" w:pos="2160"/>
        </w:tabs>
        <w:ind w:left="2160" w:hanging="360"/>
      </w:pPr>
      <w:rPr>
        <w:rFonts w:ascii="Wingdings" w:hAnsi="Wingdings" w:hint="default"/>
      </w:rPr>
    </w:lvl>
    <w:lvl w:ilvl="3" w:tplc="3610686A" w:tentative="1">
      <w:start w:val="1"/>
      <w:numFmt w:val="bullet"/>
      <w:lvlText w:val=""/>
      <w:lvlJc w:val="left"/>
      <w:pPr>
        <w:tabs>
          <w:tab w:val="num" w:pos="2880"/>
        </w:tabs>
        <w:ind w:left="2880" w:hanging="360"/>
      </w:pPr>
      <w:rPr>
        <w:rFonts w:ascii="Symbol" w:hAnsi="Symbol" w:hint="default"/>
      </w:rPr>
    </w:lvl>
    <w:lvl w:ilvl="4" w:tplc="22EE60AC" w:tentative="1">
      <w:start w:val="1"/>
      <w:numFmt w:val="bullet"/>
      <w:lvlText w:val="o"/>
      <w:lvlJc w:val="left"/>
      <w:pPr>
        <w:tabs>
          <w:tab w:val="num" w:pos="3600"/>
        </w:tabs>
        <w:ind w:left="3600" w:hanging="360"/>
      </w:pPr>
      <w:rPr>
        <w:rFonts w:ascii="Courier New" w:hAnsi="Courier New" w:hint="default"/>
      </w:rPr>
    </w:lvl>
    <w:lvl w:ilvl="5" w:tplc="221C06D6" w:tentative="1">
      <w:start w:val="1"/>
      <w:numFmt w:val="bullet"/>
      <w:lvlText w:val=""/>
      <w:lvlJc w:val="left"/>
      <w:pPr>
        <w:tabs>
          <w:tab w:val="num" w:pos="4320"/>
        </w:tabs>
        <w:ind w:left="4320" w:hanging="360"/>
      </w:pPr>
      <w:rPr>
        <w:rFonts w:ascii="Wingdings" w:hAnsi="Wingdings" w:hint="default"/>
      </w:rPr>
    </w:lvl>
    <w:lvl w:ilvl="6" w:tplc="8DDEEC52" w:tentative="1">
      <w:start w:val="1"/>
      <w:numFmt w:val="bullet"/>
      <w:lvlText w:val=""/>
      <w:lvlJc w:val="left"/>
      <w:pPr>
        <w:tabs>
          <w:tab w:val="num" w:pos="5040"/>
        </w:tabs>
        <w:ind w:left="5040" w:hanging="360"/>
      </w:pPr>
      <w:rPr>
        <w:rFonts w:ascii="Symbol" w:hAnsi="Symbol" w:hint="default"/>
      </w:rPr>
    </w:lvl>
    <w:lvl w:ilvl="7" w:tplc="B13CBD94" w:tentative="1">
      <w:start w:val="1"/>
      <w:numFmt w:val="bullet"/>
      <w:lvlText w:val="o"/>
      <w:lvlJc w:val="left"/>
      <w:pPr>
        <w:tabs>
          <w:tab w:val="num" w:pos="5760"/>
        </w:tabs>
        <w:ind w:left="5760" w:hanging="360"/>
      </w:pPr>
      <w:rPr>
        <w:rFonts w:ascii="Courier New" w:hAnsi="Courier New" w:hint="default"/>
      </w:rPr>
    </w:lvl>
    <w:lvl w:ilvl="8" w:tplc="66DC9E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6A4C6058">
      <w:start w:val="1"/>
      <w:numFmt w:val="lowerRoman"/>
      <w:lvlText w:val="%1.)"/>
      <w:lvlJc w:val="left"/>
      <w:pPr>
        <w:tabs>
          <w:tab w:val="num" w:pos="720"/>
        </w:tabs>
        <w:ind w:left="435" w:hanging="435"/>
      </w:pPr>
      <w:rPr>
        <w:rFonts w:hint="default"/>
      </w:rPr>
    </w:lvl>
    <w:lvl w:ilvl="1" w:tplc="7478C4F2">
      <w:start w:val="8"/>
      <w:numFmt w:val="decimal"/>
      <w:lvlText w:val="%2."/>
      <w:lvlJc w:val="left"/>
      <w:pPr>
        <w:tabs>
          <w:tab w:val="num" w:pos="1080"/>
        </w:tabs>
        <w:ind w:left="1080" w:hanging="360"/>
      </w:pPr>
      <w:rPr>
        <w:rFonts w:hint="default"/>
      </w:rPr>
    </w:lvl>
    <w:lvl w:ilvl="2" w:tplc="EB4EBD2A" w:tentative="1">
      <w:start w:val="1"/>
      <w:numFmt w:val="lowerRoman"/>
      <w:lvlText w:val="%3."/>
      <w:lvlJc w:val="right"/>
      <w:pPr>
        <w:tabs>
          <w:tab w:val="num" w:pos="1800"/>
        </w:tabs>
        <w:ind w:left="1800" w:hanging="180"/>
      </w:pPr>
    </w:lvl>
    <w:lvl w:ilvl="3" w:tplc="A5F660DC" w:tentative="1">
      <w:start w:val="1"/>
      <w:numFmt w:val="decimal"/>
      <w:lvlText w:val="%4."/>
      <w:lvlJc w:val="left"/>
      <w:pPr>
        <w:tabs>
          <w:tab w:val="num" w:pos="2520"/>
        </w:tabs>
        <w:ind w:left="2520" w:hanging="360"/>
      </w:pPr>
    </w:lvl>
    <w:lvl w:ilvl="4" w:tplc="72B63AC6" w:tentative="1">
      <w:start w:val="1"/>
      <w:numFmt w:val="lowerLetter"/>
      <w:lvlText w:val="%5."/>
      <w:lvlJc w:val="left"/>
      <w:pPr>
        <w:tabs>
          <w:tab w:val="num" w:pos="3240"/>
        </w:tabs>
        <w:ind w:left="3240" w:hanging="360"/>
      </w:pPr>
    </w:lvl>
    <w:lvl w:ilvl="5" w:tplc="20C44B1C" w:tentative="1">
      <w:start w:val="1"/>
      <w:numFmt w:val="lowerRoman"/>
      <w:lvlText w:val="%6."/>
      <w:lvlJc w:val="right"/>
      <w:pPr>
        <w:tabs>
          <w:tab w:val="num" w:pos="3960"/>
        </w:tabs>
        <w:ind w:left="3960" w:hanging="180"/>
      </w:pPr>
    </w:lvl>
    <w:lvl w:ilvl="6" w:tplc="C00E8FDE" w:tentative="1">
      <w:start w:val="1"/>
      <w:numFmt w:val="decimal"/>
      <w:lvlText w:val="%7."/>
      <w:lvlJc w:val="left"/>
      <w:pPr>
        <w:tabs>
          <w:tab w:val="num" w:pos="4680"/>
        </w:tabs>
        <w:ind w:left="4680" w:hanging="360"/>
      </w:pPr>
    </w:lvl>
    <w:lvl w:ilvl="7" w:tplc="AFCC9EF6" w:tentative="1">
      <w:start w:val="1"/>
      <w:numFmt w:val="lowerLetter"/>
      <w:lvlText w:val="%8."/>
      <w:lvlJc w:val="left"/>
      <w:pPr>
        <w:tabs>
          <w:tab w:val="num" w:pos="5400"/>
        </w:tabs>
        <w:ind w:left="5400" w:hanging="360"/>
      </w:pPr>
    </w:lvl>
    <w:lvl w:ilvl="8" w:tplc="DB3ABF9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211459EE">
      <w:start w:val="1"/>
      <w:numFmt w:val="lowerLetter"/>
      <w:lvlText w:val="%1)"/>
      <w:lvlJc w:val="left"/>
      <w:pPr>
        <w:tabs>
          <w:tab w:val="num" w:pos="720"/>
        </w:tabs>
        <w:ind w:left="720" w:hanging="360"/>
      </w:pPr>
    </w:lvl>
    <w:lvl w:ilvl="1" w:tplc="6F92C976" w:tentative="1">
      <w:start w:val="1"/>
      <w:numFmt w:val="lowerLetter"/>
      <w:lvlText w:val="%2."/>
      <w:lvlJc w:val="left"/>
      <w:pPr>
        <w:tabs>
          <w:tab w:val="num" w:pos="1440"/>
        </w:tabs>
        <w:ind w:left="1440" w:hanging="360"/>
      </w:pPr>
    </w:lvl>
    <w:lvl w:ilvl="2" w:tplc="597655A8" w:tentative="1">
      <w:start w:val="1"/>
      <w:numFmt w:val="lowerRoman"/>
      <w:lvlText w:val="%3."/>
      <w:lvlJc w:val="right"/>
      <w:pPr>
        <w:tabs>
          <w:tab w:val="num" w:pos="2160"/>
        </w:tabs>
        <w:ind w:left="2160" w:hanging="180"/>
      </w:pPr>
    </w:lvl>
    <w:lvl w:ilvl="3" w:tplc="6F28B516" w:tentative="1">
      <w:start w:val="1"/>
      <w:numFmt w:val="decimal"/>
      <w:lvlText w:val="%4."/>
      <w:lvlJc w:val="left"/>
      <w:pPr>
        <w:tabs>
          <w:tab w:val="num" w:pos="2880"/>
        </w:tabs>
        <w:ind w:left="2880" w:hanging="360"/>
      </w:pPr>
    </w:lvl>
    <w:lvl w:ilvl="4" w:tplc="B8C84044" w:tentative="1">
      <w:start w:val="1"/>
      <w:numFmt w:val="lowerLetter"/>
      <w:lvlText w:val="%5."/>
      <w:lvlJc w:val="left"/>
      <w:pPr>
        <w:tabs>
          <w:tab w:val="num" w:pos="3600"/>
        </w:tabs>
        <w:ind w:left="3600" w:hanging="360"/>
      </w:pPr>
    </w:lvl>
    <w:lvl w:ilvl="5" w:tplc="DAA236C4" w:tentative="1">
      <w:start w:val="1"/>
      <w:numFmt w:val="lowerRoman"/>
      <w:lvlText w:val="%6."/>
      <w:lvlJc w:val="right"/>
      <w:pPr>
        <w:tabs>
          <w:tab w:val="num" w:pos="4320"/>
        </w:tabs>
        <w:ind w:left="4320" w:hanging="180"/>
      </w:pPr>
    </w:lvl>
    <w:lvl w:ilvl="6" w:tplc="710AF45E" w:tentative="1">
      <w:start w:val="1"/>
      <w:numFmt w:val="decimal"/>
      <w:lvlText w:val="%7."/>
      <w:lvlJc w:val="left"/>
      <w:pPr>
        <w:tabs>
          <w:tab w:val="num" w:pos="5040"/>
        </w:tabs>
        <w:ind w:left="5040" w:hanging="360"/>
      </w:pPr>
    </w:lvl>
    <w:lvl w:ilvl="7" w:tplc="713A47A6" w:tentative="1">
      <w:start w:val="1"/>
      <w:numFmt w:val="lowerLetter"/>
      <w:lvlText w:val="%8."/>
      <w:lvlJc w:val="left"/>
      <w:pPr>
        <w:tabs>
          <w:tab w:val="num" w:pos="5760"/>
        </w:tabs>
        <w:ind w:left="5760" w:hanging="360"/>
      </w:pPr>
    </w:lvl>
    <w:lvl w:ilvl="8" w:tplc="3050E2AA"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9098824C">
      <w:start w:val="1"/>
      <w:numFmt w:val="lowerRoman"/>
      <w:lvlText w:val="%1.)"/>
      <w:lvlJc w:val="left"/>
      <w:pPr>
        <w:tabs>
          <w:tab w:val="num" w:pos="720"/>
        </w:tabs>
        <w:ind w:left="435" w:hanging="435"/>
      </w:pPr>
      <w:rPr>
        <w:rFonts w:hint="default"/>
      </w:rPr>
    </w:lvl>
    <w:lvl w:ilvl="1" w:tplc="10D4F286" w:tentative="1">
      <w:start w:val="1"/>
      <w:numFmt w:val="lowerLetter"/>
      <w:lvlText w:val="%2."/>
      <w:lvlJc w:val="left"/>
      <w:pPr>
        <w:tabs>
          <w:tab w:val="num" w:pos="1440"/>
        </w:tabs>
        <w:ind w:left="1440" w:hanging="360"/>
      </w:pPr>
    </w:lvl>
    <w:lvl w:ilvl="2" w:tplc="8C3C4786" w:tentative="1">
      <w:start w:val="1"/>
      <w:numFmt w:val="lowerRoman"/>
      <w:lvlText w:val="%3."/>
      <w:lvlJc w:val="right"/>
      <w:pPr>
        <w:tabs>
          <w:tab w:val="num" w:pos="2160"/>
        </w:tabs>
        <w:ind w:left="2160" w:hanging="180"/>
      </w:pPr>
    </w:lvl>
    <w:lvl w:ilvl="3" w:tplc="717E6EC2" w:tentative="1">
      <w:start w:val="1"/>
      <w:numFmt w:val="decimal"/>
      <w:lvlText w:val="%4."/>
      <w:lvlJc w:val="left"/>
      <w:pPr>
        <w:tabs>
          <w:tab w:val="num" w:pos="2880"/>
        </w:tabs>
        <w:ind w:left="2880" w:hanging="360"/>
      </w:pPr>
    </w:lvl>
    <w:lvl w:ilvl="4" w:tplc="6DE44B4E" w:tentative="1">
      <w:start w:val="1"/>
      <w:numFmt w:val="lowerLetter"/>
      <w:lvlText w:val="%5."/>
      <w:lvlJc w:val="left"/>
      <w:pPr>
        <w:tabs>
          <w:tab w:val="num" w:pos="3600"/>
        </w:tabs>
        <w:ind w:left="3600" w:hanging="360"/>
      </w:pPr>
    </w:lvl>
    <w:lvl w:ilvl="5" w:tplc="746CCBFC" w:tentative="1">
      <w:start w:val="1"/>
      <w:numFmt w:val="lowerRoman"/>
      <w:lvlText w:val="%6."/>
      <w:lvlJc w:val="right"/>
      <w:pPr>
        <w:tabs>
          <w:tab w:val="num" w:pos="4320"/>
        </w:tabs>
        <w:ind w:left="4320" w:hanging="180"/>
      </w:pPr>
    </w:lvl>
    <w:lvl w:ilvl="6" w:tplc="FFAC033E" w:tentative="1">
      <w:start w:val="1"/>
      <w:numFmt w:val="decimal"/>
      <w:lvlText w:val="%7."/>
      <w:lvlJc w:val="left"/>
      <w:pPr>
        <w:tabs>
          <w:tab w:val="num" w:pos="5040"/>
        </w:tabs>
        <w:ind w:left="5040" w:hanging="360"/>
      </w:pPr>
    </w:lvl>
    <w:lvl w:ilvl="7" w:tplc="CF0ED444" w:tentative="1">
      <w:start w:val="1"/>
      <w:numFmt w:val="lowerLetter"/>
      <w:lvlText w:val="%8."/>
      <w:lvlJc w:val="left"/>
      <w:pPr>
        <w:tabs>
          <w:tab w:val="num" w:pos="5760"/>
        </w:tabs>
        <w:ind w:left="5760" w:hanging="360"/>
      </w:pPr>
    </w:lvl>
    <w:lvl w:ilvl="8" w:tplc="AA7283FA"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04E2C94E">
      <w:start w:val="1"/>
      <w:numFmt w:val="bullet"/>
      <w:lvlText w:val=""/>
      <w:lvlJc w:val="left"/>
      <w:pPr>
        <w:tabs>
          <w:tab w:val="num" w:pos="720"/>
        </w:tabs>
        <w:ind w:left="720" w:hanging="360"/>
      </w:pPr>
      <w:rPr>
        <w:rFonts w:ascii="Symbol" w:hAnsi="Symbol" w:hint="default"/>
      </w:rPr>
    </w:lvl>
    <w:lvl w:ilvl="1" w:tplc="4FA27438" w:tentative="1">
      <w:start w:val="1"/>
      <w:numFmt w:val="bullet"/>
      <w:lvlText w:val="o"/>
      <w:lvlJc w:val="left"/>
      <w:pPr>
        <w:tabs>
          <w:tab w:val="num" w:pos="1440"/>
        </w:tabs>
        <w:ind w:left="1440" w:hanging="360"/>
      </w:pPr>
      <w:rPr>
        <w:rFonts w:ascii="Courier New" w:hAnsi="Courier New" w:hint="default"/>
      </w:rPr>
    </w:lvl>
    <w:lvl w:ilvl="2" w:tplc="16D41FAC" w:tentative="1">
      <w:start w:val="1"/>
      <w:numFmt w:val="bullet"/>
      <w:lvlText w:val=""/>
      <w:lvlJc w:val="left"/>
      <w:pPr>
        <w:tabs>
          <w:tab w:val="num" w:pos="2160"/>
        </w:tabs>
        <w:ind w:left="2160" w:hanging="360"/>
      </w:pPr>
      <w:rPr>
        <w:rFonts w:ascii="Wingdings" w:hAnsi="Wingdings" w:hint="default"/>
      </w:rPr>
    </w:lvl>
    <w:lvl w:ilvl="3" w:tplc="576899E6" w:tentative="1">
      <w:start w:val="1"/>
      <w:numFmt w:val="bullet"/>
      <w:lvlText w:val=""/>
      <w:lvlJc w:val="left"/>
      <w:pPr>
        <w:tabs>
          <w:tab w:val="num" w:pos="2880"/>
        </w:tabs>
        <w:ind w:left="2880" w:hanging="360"/>
      </w:pPr>
      <w:rPr>
        <w:rFonts w:ascii="Symbol" w:hAnsi="Symbol" w:hint="default"/>
      </w:rPr>
    </w:lvl>
    <w:lvl w:ilvl="4" w:tplc="AE78DF9A" w:tentative="1">
      <w:start w:val="1"/>
      <w:numFmt w:val="bullet"/>
      <w:lvlText w:val="o"/>
      <w:lvlJc w:val="left"/>
      <w:pPr>
        <w:tabs>
          <w:tab w:val="num" w:pos="3600"/>
        </w:tabs>
        <w:ind w:left="3600" w:hanging="360"/>
      </w:pPr>
      <w:rPr>
        <w:rFonts w:ascii="Courier New" w:hAnsi="Courier New" w:hint="default"/>
      </w:rPr>
    </w:lvl>
    <w:lvl w:ilvl="5" w:tplc="BAC0FC9C" w:tentative="1">
      <w:start w:val="1"/>
      <w:numFmt w:val="bullet"/>
      <w:lvlText w:val=""/>
      <w:lvlJc w:val="left"/>
      <w:pPr>
        <w:tabs>
          <w:tab w:val="num" w:pos="4320"/>
        </w:tabs>
        <w:ind w:left="4320" w:hanging="360"/>
      </w:pPr>
      <w:rPr>
        <w:rFonts w:ascii="Wingdings" w:hAnsi="Wingdings" w:hint="default"/>
      </w:rPr>
    </w:lvl>
    <w:lvl w:ilvl="6" w:tplc="A4D4C8C6" w:tentative="1">
      <w:start w:val="1"/>
      <w:numFmt w:val="bullet"/>
      <w:lvlText w:val=""/>
      <w:lvlJc w:val="left"/>
      <w:pPr>
        <w:tabs>
          <w:tab w:val="num" w:pos="5040"/>
        </w:tabs>
        <w:ind w:left="5040" w:hanging="360"/>
      </w:pPr>
      <w:rPr>
        <w:rFonts w:ascii="Symbol" w:hAnsi="Symbol" w:hint="default"/>
      </w:rPr>
    </w:lvl>
    <w:lvl w:ilvl="7" w:tplc="C7326A02" w:tentative="1">
      <w:start w:val="1"/>
      <w:numFmt w:val="bullet"/>
      <w:lvlText w:val="o"/>
      <w:lvlJc w:val="left"/>
      <w:pPr>
        <w:tabs>
          <w:tab w:val="num" w:pos="5760"/>
        </w:tabs>
        <w:ind w:left="5760" w:hanging="360"/>
      </w:pPr>
      <w:rPr>
        <w:rFonts w:ascii="Courier New" w:hAnsi="Courier New" w:hint="default"/>
      </w:rPr>
    </w:lvl>
    <w:lvl w:ilvl="8" w:tplc="53065C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CC100D32">
      <w:start w:val="1"/>
      <w:numFmt w:val="bullet"/>
      <w:lvlText w:val=""/>
      <w:lvlJc w:val="left"/>
      <w:pPr>
        <w:tabs>
          <w:tab w:val="num" w:pos="1440"/>
        </w:tabs>
        <w:ind w:left="1440" w:hanging="360"/>
      </w:pPr>
      <w:rPr>
        <w:rFonts w:ascii="Symbol" w:hAnsi="Symbol" w:hint="default"/>
      </w:rPr>
    </w:lvl>
    <w:lvl w:ilvl="1" w:tplc="AA5E6FF0" w:tentative="1">
      <w:start w:val="1"/>
      <w:numFmt w:val="bullet"/>
      <w:lvlText w:val="o"/>
      <w:lvlJc w:val="left"/>
      <w:pPr>
        <w:tabs>
          <w:tab w:val="num" w:pos="2160"/>
        </w:tabs>
        <w:ind w:left="2160" w:hanging="360"/>
      </w:pPr>
      <w:rPr>
        <w:rFonts w:ascii="Courier New" w:hAnsi="Courier New" w:hint="default"/>
      </w:rPr>
    </w:lvl>
    <w:lvl w:ilvl="2" w:tplc="CF5E049E" w:tentative="1">
      <w:start w:val="1"/>
      <w:numFmt w:val="bullet"/>
      <w:lvlText w:val=""/>
      <w:lvlJc w:val="left"/>
      <w:pPr>
        <w:tabs>
          <w:tab w:val="num" w:pos="2880"/>
        </w:tabs>
        <w:ind w:left="2880" w:hanging="360"/>
      </w:pPr>
      <w:rPr>
        <w:rFonts w:ascii="Wingdings" w:hAnsi="Wingdings" w:hint="default"/>
      </w:rPr>
    </w:lvl>
    <w:lvl w:ilvl="3" w:tplc="7B060C50" w:tentative="1">
      <w:start w:val="1"/>
      <w:numFmt w:val="bullet"/>
      <w:lvlText w:val=""/>
      <w:lvlJc w:val="left"/>
      <w:pPr>
        <w:tabs>
          <w:tab w:val="num" w:pos="3600"/>
        </w:tabs>
        <w:ind w:left="3600" w:hanging="360"/>
      </w:pPr>
      <w:rPr>
        <w:rFonts w:ascii="Symbol" w:hAnsi="Symbol" w:hint="default"/>
      </w:rPr>
    </w:lvl>
    <w:lvl w:ilvl="4" w:tplc="9C866754" w:tentative="1">
      <w:start w:val="1"/>
      <w:numFmt w:val="bullet"/>
      <w:lvlText w:val="o"/>
      <w:lvlJc w:val="left"/>
      <w:pPr>
        <w:tabs>
          <w:tab w:val="num" w:pos="4320"/>
        </w:tabs>
        <w:ind w:left="4320" w:hanging="360"/>
      </w:pPr>
      <w:rPr>
        <w:rFonts w:ascii="Courier New" w:hAnsi="Courier New" w:hint="default"/>
      </w:rPr>
    </w:lvl>
    <w:lvl w:ilvl="5" w:tplc="8E3AD1A0" w:tentative="1">
      <w:start w:val="1"/>
      <w:numFmt w:val="bullet"/>
      <w:lvlText w:val=""/>
      <w:lvlJc w:val="left"/>
      <w:pPr>
        <w:tabs>
          <w:tab w:val="num" w:pos="5040"/>
        </w:tabs>
        <w:ind w:left="5040" w:hanging="360"/>
      </w:pPr>
      <w:rPr>
        <w:rFonts w:ascii="Wingdings" w:hAnsi="Wingdings" w:hint="default"/>
      </w:rPr>
    </w:lvl>
    <w:lvl w:ilvl="6" w:tplc="965A6A9E" w:tentative="1">
      <w:start w:val="1"/>
      <w:numFmt w:val="bullet"/>
      <w:lvlText w:val=""/>
      <w:lvlJc w:val="left"/>
      <w:pPr>
        <w:tabs>
          <w:tab w:val="num" w:pos="5760"/>
        </w:tabs>
        <w:ind w:left="5760" w:hanging="360"/>
      </w:pPr>
      <w:rPr>
        <w:rFonts w:ascii="Symbol" w:hAnsi="Symbol" w:hint="default"/>
      </w:rPr>
    </w:lvl>
    <w:lvl w:ilvl="7" w:tplc="8A602002" w:tentative="1">
      <w:start w:val="1"/>
      <w:numFmt w:val="bullet"/>
      <w:lvlText w:val="o"/>
      <w:lvlJc w:val="left"/>
      <w:pPr>
        <w:tabs>
          <w:tab w:val="num" w:pos="6480"/>
        </w:tabs>
        <w:ind w:left="6480" w:hanging="360"/>
      </w:pPr>
      <w:rPr>
        <w:rFonts w:ascii="Courier New" w:hAnsi="Courier New" w:hint="default"/>
      </w:rPr>
    </w:lvl>
    <w:lvl w:ilvl="8" w:tplc="40EABFD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018EF31A">
      <w:start w:val="1"/>
      <w:numFmt w:val="bullet"/>
      <w:lvlText w:val=""/>
      <w:lvlJc w:val="left"/>
      <w:pPr>
        <w:tabs>
          <w:tab w:val="num" w:pos="1440"/>
        </w:tabs>
        <w:ind w:left="1440" w:hanging="360"/>
      </w:pPr>
      <w:rPr>
        <w:rFonts w:ascii="Symbol" w:hAnsi="Symbol" w:hint="default"/>
      </w:rPr>
    </w:lvl>
    <w:lvl w:ilvl="1" w:tplc="F21E00A4" w:tentative="1">
      <w:start w:val="1"/>
      <w:numFmt w:val="bullet"/>
      <w:lvlText w:val="o"/>
      <w:lvlJc w:val="left"/>
      <w:pPr>
        <w:tabs>
          <w:tab w:val="num" w:pos="2160"/>
        </w:tabs>
        <w:ind w:left="2160" w:hanging="360"/>
      </w:pPr>
      <w:rPr>
        <w:rFonts w:ascii="Courier New" w:hAnsi="Courier New" w:hint="default"/>
      </w:rPr>
    </w:lvl>
    <w:lvl w:ilvl="2" w:tplc="F762F4BE" w:tentative="1">
      <w:start w:val="1"/>
      <w:numFmt w:val="bullet"/>
      <w:lvlText w:val=""/>
      <w:lvlJc w:val="left"/>
      <w:pPr>
        <w:tabs>
          <w:tab w:val="num" w:pos="2880"/>
        </w:tabs>
        <w:ind w:left="2880" w:hanging="360"/>
      </w:pPr>
      <w:rPr>
        <w:rFonts w:ascii="Wingdings" w:hAnsi="Wingdings" w:hint="default"/>
      </w:rPr>
    </w:lvl>
    <w:lvl w:ilvl="3" w:tplc="AB5200F6" w:tentative="1">
      <w:start w:val="1"/>
      <w:numFmt w:val="bullet"/>
      <w:lvlText w:val=""/>
      <w:lvlJc w:val="left"/>
      <w:pPr>
        <w:tabs>
          <w:tab w:val="num" w:pos="3600"/>
        </w:tabs>
        <w:ind w:left="3600" w:hanging="360"/>
      </w:pPr>
      <w:rPr>
        <w:rFonts w:ascii="Symbol" w:hAnsi="Symbol" w:hint="default"/>
      </w:rPr>
    </w:lvl>
    <w:lvl w:ilvl="4" w:tplc="5832CAC2" w:tentative="1">
      <w:start w:val="1"/>
      <w:numFmt w:val="bullet"/>
      <w:lvlText w:val="o"/>
      <w:lvlJc w:val="left"/>
      <w:pPr>
        <w:tabs>
          <w:tab w:val="num" w:pos="4320"/>
        </w:tabs>
        <w:ind w:left="4320" w:hanging="360"/>
      </w:pPr>
      <w:rPr>
        <w:rFonts w:ascii="Courier New" w:hAnsi="Courier New" w:hint="default"/>
      </w:rPr>
    </w:lvl>
    <w:lvl w:ilvl="5" w:tplc="2E9C7CF2" w:tentative="1">
      <w:start w:val="1"/>
      <w:numFmt w:val="bullet"/>
      <w:lvlText w:val=""/>
      <w:lvlJc w:val="left"/>
      <w:pPr>
        <w:tabs>
          <w:tab w:val="num" w:pos="5040"/>
        </w:tabs>
        <w:ind w:left="5040" w:hanging="360"/>
      </w:pPr>
      <w:rPr>
        <w:rFonts w:ascii="Wingdings" w:hAnsi="Wingdings" w:hint="default"/>
      </w:rPr>
    </w:lvl>
    <w:lvl w:ilvl="6" w:tplc="B78CEFF6" w:tentative="1">
      <w:start w:val="1"/>
      <w:numFmt w:val="bullet"/>
      <w:lvlText w:val=""/>
      <w:lvlJc w:val="left"/>
      <w:pPr>
        <w:tabs>
          <w:tab w:val="num" w:pos="5760"/>
        </w:tabs>
        <w:ind w:left="5760" w:hanging="360"/>
      </w:pPr>
      <w:rPr>
        <w:rFonts w:ascii="Symbol" w:hAnsi="Symbol" w:hint="default"/>
      </w:rPr>
    </w:lvl>
    <w:lvl w:ilvl="7" w:tplc="481CDB4E" w:tentative="1">
      <w:start w:val="1"/>
      <w:numFmt w:val="bullet"/>
      <w:lvlText w:val="o"/>
      <w:lvlJc w:val="left"/>
      <w:pPr>
        <w:tabs>
          <w:tab w:val="num" w:pos="6480"/>
        </w:tabs>
        <w:ind w:left="6480" w:hanging="360"/>
      </w:pPr>
      <w:rPr>
        <w:rFonts w:ascii="Courier New" w:hAnsi="Courier New" w:hint="default"/>
      </w:rPr>
    </w:lvl>
    <w:lvl w:ilvl="8" w:tplc="D066774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4630F786">
      <w:start w:val="1"/>
      <w:numFmt w:val="bullet"/>
      <w:lvlText w:val=""/>
      <w:lvlJc w:val="left"/>
      <w:pPr>
        <w:tabs>
          <w:tab w:val="num" w:pos="1440"/>
        </w:tabs>
        <w:ind w:left="1440" w:hanging="360"/>
      </w:pPr>
      <w:rPr>
        <w:rFonts w:ascii="Symbol" w:hAnsi="Symbol" w:hint="default"/>
      </w:rPr>
    </w:lvl>
    <w:lvl w:ilvl="1" w:tplc="992A4D6C">
      <w:start w:val="1"/>
      <w:numFmt w:val="bullet"/>
      <w:lvlText w:val="o"/>
      <w:lvlJc w:val="left"/>
      <w:pPr>
        <w:tabs>
          <w:tab w:val="num" w:pos="2160"/>
        </w:tabs>
        <w:ind w:left="2160" w:hanging="360"/>
      </w:pPr>
      <w:rPr>
        <w:rFonts w:ascii="Courier New" w:hAnsi="Courier New" w:hint="default"/>
      </w:rPr>
    </w:lvl>
    <w:lvl w:ilvl="2" w:tplc="8C38B12E" w:tentative="1">
      <w:start w:val="1"/>
      <w:numFmt w:val="bullet"/>
      <w:lvlText w:val=""/>
      <w:lvlJc w:val="left"/>
      <w:pPr>
        <w:tabs>
          <w:tab w:val="num" w:pos="2880"/>
        </w:tabs>
        <w:ind w:left="2880" w:hanging="360"/>
      </w:pPr>
      <w:rPr>
        <w:rFonts w:ascii="Wingdings" w:hAnsi="Wingdings" w:hint="default"/>
      </w:rPr>
    </w:lvl>
    <w:lvl w:ilvl="3" w:tplc="BFBAE06A" w:tentative="1">
      <w:start w:val="1"/>
      <w:numFmt w:val="bullet"/>
      <w:lvlText w:val=""/>
      <w:lvlJc w:val="left"/>
      <w:pPr>
        <w:tabs>
          <w:tab w:val="num" w:pos="3600"/>
        </w:tabs>
        <w:ind w:left="3600" w:hanging="360"/>
      </w:pPr>
      <w:rPr>
        <w:rFonts w:ascii="Symbol" w:hAnsi="Symbol" w:hint="default"/>
      </w:rPr>
    </w:lvl>
    <w:lvl w:ilvl="4" w:tplc="C7882362" w:tentative="1">
      <w:start w:val="1"/>
      <w:numFmt w:val="bullet"/>
      <w:lvlText w:val="o"/>
      <w:lvlJc w:val="left"/>
      <w:pPr>
        <w:tabs>
          <w:tab w:val="num" w:pos="4320"/>
        </w:tabs>
        <w:ind w:left="4320" w:hanging="360"/>
      </w:pPr>
      <w:rPr>
        <w:rFonts w:ascii="Courier New" w:hAnsi="Courier New" w:hint="default"/>
      </w:rPr>
    </w:lvl>
    <w:lvl w:ilvl="5" w:tplc="B1BE6D3C" w:tentative="1">
      <w:start w:val="1"/>
      <w:numFmt w:val="bullet"/>
      <w:lvlText w:val=""/>
      <w:lvlJc w:val="left"/>
      <w:pPr>
        <w:tabs>
          <w:tab w:val="num" w:pos="5040"/>
        </w:tabs>
        <w:ind w:left="5040" w:hanging="360"/>
      </w:pPr>
      <w:rPr>
        <w:rFonts w:ascii="Wingdings" w:hAnsi="Wingdings" w:hint="default"/>
      </w:rPr>
    </w:lvl>
    <w:lvl w:ilvl="6" w:tplc="FA007294" w:tentative="1">
      <w:start w:val="1"/>
      <w:numFmt w:val="bullet"/>
      <w:lvlText w:val=""/>
      <w:lvlJc w:val="left"/>
      <w:pPr>
        <w:tabs>
          <w:tab w:val="num" w:pos="5760"/>
        </w:tabs>
        <w:ind w:left="5760" w:hanging="360"/>
      </w:pPr>
      <w:rPr>
        <w:rFonts w:ascii="Symbol" w:hAnsi="Symbol" w:hint="default"/>
      </w:rPr>
    </w:lvl>
    <w:lvl w:ilvl="7" w:tplc="3AECF7E4" w:tentative="1">
      <w:start w:val="1"/>
      <w:numFmt w:val="bullet"/>
      <w:lvlText w:val="o"/>
      <w:lvlJc w:val="left"/>
      <w:pPr>
        <w:tabs>
          <w:tab w:val="num" w:pos="6480"/>
        </w:tabs>
        <w:ind w:left="6480" w:hanging="360"/>
      </w:pPr>
      <w:rPr>
        <w:rFonts w:ascii="Courier New" w:hAnsi="Courier New" w:hint="default"/>
      </w:rPr>
    </w:lvl>
    <w:lvl w:ilvl="8" w:tplc="968AC9D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BCF6A394">
      <w:start w:val="1"/>
      <w:numFmt w:val="bullet"/>
      <w:lvlText w:val=""/>
      <w:lvlJc w:val="left"/>
      <w:pPr>
        <w:tabs>
          <w:tab w:val="num" w:pos="720"/>
        </w:tabs>
        <w:ind w:left="720" w:hanging="360"/>
      </w:pPr>
      <w:rPr>
        <w:rFonts w:ascii="Symbol" w:hAnsi="Symbol" w:hint="default"/>
      </w:rPr>
    </w:lvl>
    <w:lvl w:ilvl="1" w:tplc="12940FD4">
      <w:start w:val="1"/>
      <w:numFmt w:val="bullet"/>
      <w:lvlText w:val="o"/>
      <w:lvlJc w:val="left"/>
      <w:pPr>
        <w:tabs>
          <w:tab w:val="num" w:pos="1440"/>
        </w:tabs>
        <w:ind w:left="1440" w:hanging="360"/>
      </w:pPr>
      <w:rPr>
        <w:rFonts w:ascii="Courier New" w:hAnsi="Courier New" w:hint="default"/>
      </w:rPr>
    </w:lvl>
    <w:lvl w:ilvl="2" w:tplc="AB4E457A" w:tentative="1">
      <w:start w:val="1"/>
      <w:numFmt w:val="bullet"/>
      <w:lvlText w:val=""/>
      <w:lvlJc w:val="left"/>
      <w:pPr>
        <w:tabs>
          <w:tab w:val="num" w:pos="2160"/>
        </w:tabs>
        <w:ind w:left="2160" w:hanging="360"/>
      </w:pPr>
      <w:rPr>
        <w:rFonts w:ascii="Wingdings" w:hAnsi="Wingdings" w:hint="default"/>
      </w:rPr>
    </w:lvl>
    <w:lvl w:ilvl="3" w:tplc="A6941A12" w:tentative="1">
      <w:start w:val="1"/>
      <w:numFmt w:val="bullet"/>
      <w:lvlText w:val=""/>
      <w:lvlJc w:val="left"/>
      <w:pPr>
        <w:tabs>
          <w:tab w:val="num" w:pos="2880"/>
        </w:tabs>
        <w:ind w:left="2880" w:hanging="360"/>
      </w:pPr>
      <w:rPr>
        <w:rFonts w:ascii="Symbol" w:hAnsi="Symbol" w:hint="default"/>
      </w:rPr>
    </w:lvl>
    <w:lvl w:ilvl="4" w:tplc="712ACA3E" w:tentative="1">
      <w:start w:val="1"/>
      <w:numFmt w:val="bullet"/>
      <w:lvlText w:val="o"/>
      <w:lvlJc w:val="left"/>
      <w:pPr>
        <w:tabs>
          <w:tab w:val="num" w:pos="3600"/>
        </w:tabs>
        <w:ind w:left="3600" w:hanging="360"/>
      </w:pPr>
      <w:rPr>
        <w:rFonts w:ascii="Courier New" w:hAnsi="Courier New" w:hint="default"/>
      </w:rPr>
    </w:lvl>
    <w:lvl w:ilvl="5" w:tplc="238CF354" w:tentative="1">
      <w:start w:val="1"/>
      <w:numFmt w:val="bullet"/>
      <w:lvlText w:val=""/>
      <w:lvlJc w:val="left"/>
      <w:pPr>
        <w:tabs>
          <w:tab w:val="num" w:pos="4320"/>
        </w:tabs>
        <w:ind w:left="4320" w:hanging="360"/>
      </w:pPr>
      <w:rPr>
        <w:rFonts w:ascii="Wingdings" w:hAnsi="Wingdings" w:hint="default"/>
      </w:rPr>
    </w:lvl>
    <w:lvl w:ilvl="6" w:tplc="96E085AE" w:tentative="1">
      <w:start w:val="1"/>
      <w:numFmt w:val="bullet"/>
      <w:lvlText w:val=""/>
      <w:lvlJc w:val="left"/>
      <w:pPr>
        <w:tabs>
          <w:tab w:val="num" w:pos="5040"/>
        </w:tabs>
        <w:ind w:left="5040" w:hanging="360"/>
      </w:pPr>
      <w:rPr>
        <w:rFonts w:ascii="Symbol" w:hAnsi="Symbol" w:hint="default"/>
      </w:rPr>
    </w:lvl>
    <w:lvl w:ilvl="7" w:tplc="DB468942" w:tentative="1">
      <w:start w:val="1"/>
      <w:numFmt w:val="bullet"/>
      <w:lvlText w:val="o"/>
      <w:lvlJc w:val="left"/>
      <w:pPr>
        <w:tabs>
          <w:tab w:val="num" w:pos="5760"/>
        </w:tabs>
        <w:ind w:left="5760" w:hanging="360"/>
      </w:pPr>
      <w:rPr>
        <w:rFonts w:ascii="Courier New" w:hAnsi="Courier New" w:hint="default"/>
      </w:rPr>
    </w:lvl>
    <w:lvl w:ilvl="8" w:tplc="2B78E0B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66DCA12A">
      <w:start w:val="1"/>
      <w:numFmt w:val="lowerRoman"/>
      <w:lvlText w:val="%1.)"/>
      <w:lvlJc w:val="left"/>
      <w:pPr>
        <w:tabs>
          <w:tab w:val="num" w:pos="540"/>
        </w:tabs>
        <w:ind w:left="255" w:hanging="435"/>
      </w:pPr>
      <w:rPr>
        <w:rFonts w:hint="default"/>
      </w:rPr>
    </w:lvl>
    <w:lvl w:ilvl="1" w:tplc="373446B0" w:tentative="1">
      <w:start w:val="1"/>
      <w:numFmt w:val="lowerLetter"/>
      <w:lvlText w:val="%2."/>
      <w:lvlJc w:val="left"/>
      <w:pPr>
        <w:tabs>
          <w:tab w:val="num" w:pos="1260"/>
        </w:tabs>
        <w:ind w:left="1260" w:hanging="360"/>
      </w:pPr>
    </w:lvl>
    <w:lvl w:ilvl="2" w:tplc="57B4F9A2" w:tentative="1">
      <w:start w:val="1"/>
      <w:numFmt w:val="lowerRoman"/>
      <w:lvlText w:val="%3."/>
      <w:lvlJc w:val="right"/>
      <w:pPr>
        <w:tabs>
          <w:tab w:val="num" w:pos="1980"/>
        </w:tabs>
        <w:ind w:left="1980" w:hanging="180"/>
      </w:pPr>
    </w:lvl>
    <w:lvl w:ilvl="3" w:tplc="47C258C4" w:tentative="1">
      <w:start w:val="1"/>
      <w:numFmt w:val="decimal"/>
      <w:lvlText w:val="%4."/>
      <w:lvlJc w:val="left"/>
      <w:pPr>
        <w:tabs>
          <w:tab w:val="num" w:pos="2700"/>
        </w:tabs>
        <w:ind w:left="2700" w:hanging="360"/>
      </w:pPr>
    </w:lvl>
    <w:lvl w:ilvl="4" w:tplc="AFD6218A" w:tentative="1">
      <w:start w:val="1"/>
      <w:numFmt w:val="lowerLetter"/>
      <w:lvlText w:val="%5."/>
      <w:lvlJc w:val="left"/>
      <w:pPr>
        <w:tabs>
          <w:tab w:val="num" w:pos="3420"/>
        </w:tabs>
        <w:ind w:left="3420" w:hanging="360"/>
      </w:pPr>
    </w:lvl>
    <w:lvl w:ilvl="5" w:tplc="F4449CCC" w:tentative="1">
      <w:start w:val="1"/>
      <w:numFmt w:val="lowerRoman"/>
      <w:lvlText w:val="%6."/>
      <w:lvlJc w:val="right"/>
      <w:pPr>
        <w:tabs>
          <w:tab w:val="num" w:pos="4140"/>
        </w:tabs>
        <w:ind w:left="4140" w:hanging="180"/>
      </w:pPr>
    </w:lvl>
    <w:lvl w:ilvl="6" w:tplc="A84E2942" w:tentative="1">
      <w:start w:val="1"/>
      <w:numFmt w:val="decimal"/>
      <w:lvlText w:val="%7."/>
      <w:lvlJc w:val="left"/>
      <w:pPr>
        <w:tabs>
          <w:tab w:val="num" w:pos="4860"/>
        </w:tabs>
        <w:ind w:left="4860" w:hanging="360"/>
      </w:pPr>
    </w:lvl>
    <w:lvl w:ilvl="7" w:tplc="4080044C" w:tentative="1">
      <w:start w:val="1"/>
      <w:numFmt w:val="lowerLetter"/>
      <w:lvlText w:val="%8."/>
      <w:lvlJc w:val="left"/>
      <w:pPr>
        <w:tabs>
          <w:tab w:val="num" w:pos="5580"/>
        </w:tabs>
        <w:ind w:left="5580" w:hanging="360"/>
      </w:pPr>
    </w:lvl>
    <w:lvl w:ilvl="8" w:tplc="1F00966C"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516AACFA">
      <w:start w:val="1"/>
      <w:numFmt w:val="decimal"/>
      <w:lvlText w:val="%1."/>
      <w:lvlJc w:val="left"/>
      <w:pPr>
        <w:tabs>
          <w:tab w:val="num" w:pos="180"/>
        </w:tabs>
        <w:ind w:left="180" w:hanging="360"/>
      </w:pPr>
      <w:rPr>
        <w:rFonts w:hint="default"/>
      </w:rPr>
    </w:lvl>
    <w:lvl w:ilvl="1" w:tplc="64301A9A" w:tentative="1">
      <w:start w:val="1"/>
      <w:numFmt w:val="lowerLetter"/>
      <w:lvlText w:val="%2."/>
      <w:lvlJc w:val="left"/>
      <w:pPr>
        <w:tabs>
          <w:tab w:val="num" w:pos="900"/>
        </w:tabs>
        <w:ind w:left="900" w:hanging="360"/>
      </w:pPr>
    </w:lvl>
    <w:lvl w:ilvl="2" w:tplc="04D80D80" w:tentative="1">
      <w:start w:val="1"/>
      <w:numFmt w:val="lowerRoman"/>
      <w:lvlText w:val="%3."/>
      <w:lvlJc w:val="right"/>
      <w:pPr>
        <w:tabs>
          <w:tab w:val="num" w:pos="1620"/>
        </w:tabs>
        <w:ind w:left="1620" w:hanging="180"/>
      </w:pPr>
    </w:lvl>
    <w:lvl w:ilvl="3" w:tplc="34D07E40" w:tentative="1">
      <w:start w:val="1"/>
      <w:numFmt w:val="decimal"/>
      <w:lvlText w:val="%4."/>
      <w:lvlJc w:val="left"/>
      <w:pPr>
        <w:tabs>
          <w:tab w:val="num" w:pos="2340"/>
        </w:tabs>
        <w:ind w:left="2340" w:hanging="360"/>
      </w:pPr>
    </w:lvl>
    <w:lvl w:ilvl="4" w:tplc="D64A7D2E" w:tentative="1">
      <w:start w:val="1"/>
      <w:numFmt w:val="lowerLetter"/>
      <w:lvlText w:val="%5."/>
      <w:lvlJc w:val="left"/>
      <w:pPr>
        <w:tabs>
          <w:tab w:val="num" w:pos="3060"/>
        </w:tabs>
        <w:ind w:left="3060" w:hanging="360"/>
      </w:pPr>
    </w:lvl>
    <w:lvl w:ilvl="5" w:tplc="C91EF7D0" w:tentative="1">
      <w:start w:val="1"/>
      <w:numFmt w:val="lowerRoman"/>
      <w:lvlText w:val="%6."/>
      <w:lvlJc w:val="right"/>
      <w:pPr>
        <w:tabs>
          <w:tab w:val="num" w:pos="3780"/>
        </w:tabs>
        <w:ind w:left="3780" w:hanging="180"/>
      </w:pPr>
    </w:lvl>
    <w:lvl w:ilvl="6" w:tplc="896ED45A" w:tentative="1">
      <w:start w:val="1"/>
      <w:numFmt w:val="decimal"/>
      <w:lvlText w:val="%7."/>
      <w:lvlJc w:val="left"/>
      <w:pPr>
        <w:tabs>
          <w:tab w:val="num" w:pos="4500"/>
        </w:tabs>
        <w:ind w:left="4500" w:hanging="360"/>
      </w:pPr>
    </w:lvl>
    <w:lvl w:ilvl="7" w:tplc="26A036C6" w:tentative="1">
      <w:start w:val="1"/>
      <w:numFmt w:val="lowerLetter"/>
      <w:lvlText w:val="%8."/>
      <w:lvlJc w:val="left"/>
      <w:pPr>
        <w:tabs>
          <w:tab w:val="num" w:pos="5220"/>
        </w:tabs>
        <w:ind w:left="5220" w:hanging="360"/>
      </w:pPr>
    </w:lvl>
    <w:lvl w:ilvl="8" w:tplc="BED8E31E"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EE7CAF4C">
      <w:start w:val="1"/>
      <w:numFmt w:val="bullet"/>
      <w:lvlText w:val=""/>
      <w:lvlJc w:val="left"/>
      <w:pPr>
        <w:tabs>
          <w:tab w:val="num" w:pos="720"/>
        </w:tabs>
        <w:ind w:left="720" w:hanging="360"/>
      </w:pPr>
      <w:rPr>
        <w:rFonts w:ascii="Symbol" w:hAnsi="Symbol" w:hint="default"/>
      </w:rPr>
    </w:lvl>
    <w:lvl w:ilvl="1" w:tplc="97BECEF8" w:tentative="1">
      <w:start w:val="1"/>
      <w:numFmt w:val="bullet"/>
      <w:lvlText w:val="o"/>
      <w:lvlJc w:val="left"/>
      <w:pPr>
        <w:tabs>
          <w:tab w:val="num" w:pos="1440"/>
        </w:tabs>
        <w:ind w:left="1440" w:hanging="360"/>
      </w:pPr>
      <w:rPr>
        <w:rFonts w:ascii="Courier New" w:hAnsi="Courier New" w:hint="default"/>
      </w:rPr>
    </w:lvl>
    <w:lvl w:ilvl="2" w:tplc="7D688E44" w:tentative="1">
      <w:start w:val="1"/>
      <w:numFmt w:val="bullet"/>
      <w:lvlText w:val=""/>
      <w:lvlJc w:val="left"/>
      <w:pPr>
        <w:tabs>
          <w:tab w:val="num" w:pos="2160"/>
        </w:tabs>
        <w:ind w:left="2160" w:hanging="360"/>
      </w:pPr>
      <w:rPr>
        <w:rFonts w:ascii="Wingdings" w:hAnsi="Wingdings" w:hint="default"/>
      </w:rPr>
    </w:lvl>
    <w:lvl w:ilvl="3" w:tplc="4238AC86" w:tentative="1">
      <w:start w:val="1"/>
      <w:numFmt w:val="bullet"/>
      <w:lvlText w:val=""/>
      <w:lvlJc w:val="left"/>
      <w:pPr>
        <w:tabs>
          <w:tab w:val="num" w:pos="2880"/>
        </w:tabs>
        <w:ind w:left="2880" w:hanging="360"/>
      </w:pPr>
      <w:rPr>
        <w:rFonts w:ascii="Symbol" w:hAnsi="Symbol" w:hint="default"/>
      </w:rPr>
    </w:lvl>
    <w:lvl w:ilvl="4" w:tplc="1B62CD06" w:tentative="1">
      <w:start w:val="1"/>
      <w:numFmt w:val="bullet"/>
      <w:lvlText w:val="o"/>
      <w:lvlJc w:val="left"/>
      <w:pPr>
        <w:tabs>
          <w:tab w:val="num" w:pos="3600"/>
        </w:tabs>
        <w:ind w:left="3600" w:hanging="360"/>
      </w:pPr>
      <w:rPr>
        <w:rFonts w:ascii="Courier New" w:hAnsi="Courier New" w:hint="default"/>
      </w:rPr>
    </w:lvl>
    <w:lvl w:ilvl="5" w:tplc="094E6CFA" w:tentative="1">
      <w:start w:val="1"/>
      <w:numFmt w:val="bullet"/>
      <w:lvlText w:val=""/>
      <w:lvlJc w:val="left"/>
      <w:pPr>
        <w:tabs>
          <w:tab w:val="num" w:pos="4320"/>
        </w:tabs>
        <w:ind w:left="4320" w:hanging="360"/>
      </w:pPr>
      <w:rPr>
        <w:rFonts w:ascii="Wingdings" w:hAnsi="Wingdings" w:hint="default"/>
      </w:rPr>
    </w:lvl>
    <w:lvl w:ilvl="6" w:tplc="52F268B0" w:tentative="1">
      <w:start w:val="1"/>
      <w:numFmt w:val="bullet"/>
      <w:lvlText w:val=""/>
      <w:lvlJc w:val="left"/>
      <w:pPr>
        <w:tabs>
          <w:tab w:val="num" w:pos="5040"/>
        </w:tabs>
        <w:ind w:left="5040" w:hanging="360"/>
      </w:pPr>
      <w:rPr>
        <w:rFonts w:ascii="Symbol" w:hAnsi="Symbol" w:hint="default"/>
      </w:rPr>
    </w:lvl>
    <w:lvl w:ilvl="7" w:tplc="AF003040" w:tentative="1">
      <w:start w:val="1"/>
      <w:numFmt w:val="bullet"/>
      <w:lvlText w:val="o"/>
      <w:lvlJc w:val="left"/>
      <w:pPr>
        <w:tabs>
          <w:tab w:val="num" w:pos="5760"/>
        </w:tabs>
        <w:ind w:left="5760" w:hanging="360"/>
      </w:pPr>
      <w:rPr>
        <w:rFonts w:ascii="Courier New" w:hAnsi="Courier New" w:hint="default"/>
      </w:rPr>
    </w:lvl>
    <w:lvl w:ilvl="8" w:tplc="5498C64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FF54D486">
      <w:start w:val="1"/>
      <w:numFmt w:val="bullet"/>
      <w:lvlText w:val=""/>
      <w:lvlJc w:val="left"/>
      <w:pPr>
        <w:tabs>
          <w:tab w:val="num" w:pos="720"/>
        </w:tabs>
        <w:ind w:left="720" w:hanging="360"/>
      </w:pPr>
      <w:rPr>
        <w:rFonts w:ascii="Symbol" w:hAnsi="Symbol" w:hint="default"/>
      </w:rPr>
    </w:lvl>
    <w:lvl w:ilvl="1" w:tplc="96CEEC20">
      <w:start w:val="1"/>
      <w:numFmt w:val="bullet"/>
      <w:lvlText w:val="o"/>
      <w:lvlJc w:val="left"/>
      <w:pPr>
        <w:tabs>
          <w:tab w:val="num" w:pos="1440"/>
        </w:tabs>
        <w:ind w:left="1440" w:hanging="360"/>
      </w:pPr>
      <w:rPr>
        <w:rFonts w:ascii="Courier New" w:hAnsi="Courier New" w:hint="default"/>
      </w:rPr>
    </w:lvl>
    <w:lvl w:ilvl="2" w:tplc="3CBE9B30" w:tentative="1">
      <w:start w:val="1"/>
      <w:numFmt w:val="bullet"/>
      <w:lvlText w:val=""/>
      <w:lvlJc w:val="left"/>
      <w:pPr>
        <w:tabs>
          <w:tab w:val="num" w:pos="2160"/>
        </w:tabs>
        <w:ind w:left="2160" w:hanging="360"/>
      </w:pPr>
      <w:rPr>
        <w:rFonts w:ascii="Wingdings" w:hAnsi="Wingdings" w:hint="default"/>
      </w:rPr>
    </w:lvl>
    <w:lvl w:ilvl="3" w:tplc="22B4D1F8" w:tentative="1">
      <w:start w:val="1"/>
      <w:numFmt w:val="bullet"/>
      <w:lvlText w:val=""/>
      <w:lvlJc w:val="left"/>
      <w:pPr>
        <w:tabs>
          <w:tab w:val="num" w:pos="2880"/>
        </w:tabs>
        <w:ind w:left="2880" w:hanging="360"/>
      </w:pPr>
      <w:rPr>
        <w:rFonts w:ascii="Symbol" w:hAnsi="Symbol" w:hint="default"/>
      </w:rPr>
    </w:lvl>
    <w:lvl w:ilvl="4" w:tplc="BC9AE672" w:tentative="1">
      <w:start w:val="1"/>
      <w:numFmt w:val="bullet"/>
      <w:lvlText w:val="o"/>
      <w:lvlJc w:val="left"/>
      <w:pPr>
        <w:tabs>
          <w:tab w:val="num" w:pos="3600"/>
        </w:tabs>
        <w:ind w:left="3600" w:hanging="360"/>
      </w:pPr>
      <w:rPr>
        <w:rFonts w:ascii="Courier New" w:hAnsi="Courier New" w:hint="default"/>
      </w:rPr>
    </w:lvl>
    <w:lvl w:ilvl="5" w:tplc="5EB01434" w:tentative="1">
      <w:start w:val="1"/>
      <w:numFmt w:val="bullet"/>
      <w:lvlText w:val=""/>
      <w:lvlJc w:val="left"/>
      <w:pPr>
        <w:tabs>
          <w:tab w:val="num" w:pos="4320"/>
        </w:tabs>
        <w:ind w:left="4320" w:hanging="360"/>
      </w:pPr>
      <w:rPr>
        <w:rFonts w:ascii="Wingdings" w:hAnsi="Wingdings" w:hint="default"/>
      </w:rPr>
    </w:lvl>
    <w:lvl w:ilvl="6" w:tplc="79CC0F20" w:tentative="1">
      <w:start w:val="1"/>
      <w:numFmt w:val="bullet"/>
      <w:lvlText w:val=""/>
      <w:lvlJc w:val="left"/>
      <w:pPr>
        <w:tabs>
          <w:tab w:val="num" w:pos="5040"/>
        </w:tabs>
        <w:ind w:left="5040" w:hanging="360"/>
      </w:pPr>
      <w:rPr>
        <w:rFonts w:ascii="Symbol" w:hAnsi="Symbol" w:hint="default"/>
      </w:rPr>
    </w:lvl>
    <w:lvl w:ilvl="7" w:tplc="B936E37A" w:tentative="1">
      <w:start w:val="1"/>
      <w:numFmt w:val="bullet"/>
      <w:lvlText w:val="o"/>
      <w:lvlJc w:val="left"/>
      <w:pPr>
        <w:tabs>
          <w:tab w:val="num" w:pos="5760"/>
        </w:tabs>
        <w:ind w:left="5760" w:hanging="360"/>
      </w:pPr>
      <w:rPr>
        <w:rFonts w:ascii="Courier New" w:hAnsi="Courier New" w:hint="default"/>
      </w:rPr>
    </w:lvl>
    <w:lvl w:ilvl="8" w:tplc="5442ECE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D94A81E0">
      <w:start w:val="1"/>
      <w:numFmt w:val="decimal"/>
      <w:pStyle w:val="References"/>
      <w:lvlText w:val="%1."/>
      <w:lvlJc w:val="left"/>
      <w:pPr>
        <w:tabs>
          <w:tab w:val="num" w:pos="360"/>
        </w:tabs>
        <w:ind w:left="360" w:hanging="360"/>
      </w:pPr>
      <w:rPr>
        <w:rFonts w:hint="default"/>
      </w:rPr>
    </w:lvl>
    <w:lvl w:ilvl="1" w:tplc="E0BE66A6">
      <w:start w:val="1"/>
      <w:numFmt w:val="lowerLetter"/>
      <w:lvlText w:val="%2."/>
      <w:lvlJc w:val="left"/>
      <w:pPr>
        <w:tabs>
          <w:tab w:val="num" w:pos="1620"/>
        </w:tabs>
        <w:ind w:left="1620" w:hanging="360"/>
      </w:pPr>
    </w:lvl>
    <w:lvl w:ilvl="2" w:tplc="4FD40910" w:tentative="1">
      <w:start w:val="1"/>
      <w:numFmt w:val="lowerRoman"/>
      <w:lvlText w:val="%3."/>
      <w:lvlJc w:val="right"/>
      <w:pPr>
        <w:tabs>
          <w:tab w:val="num" w:pos="2340"/>
        </w:tabs>
        <w:ind w:left="2340" w:hanging="180"/>
      </w:pPr>
    </w:lvl>
    <w:lvl w:ilvl="3" w:tplc="06203694" w:tentative="1">
      <w:start w:val="1"/>
      <w:numFmt w:val="decimal"/>
      <w:lvlText w:val="%4."/>
      <w:lvlJc w:val="left"/>
      <w:pPr>
        <w:tabs>
          <w:tab w:val="num" w:pos="3060"/>
        </w:tabs>
        <w:ind w:left="3060" w:hanging="360"/>
      </w:pPr>
    </w:lvl>
    <w:lvl w:ilvl="4" w:tplc="18585A3C" w:tentative="1">
      <w:start w:val="1"/>
      <w:numFmt w:val="lowerLetter"/>
      <w:lvlText w:val="%5."/>
      <w:lvlJc w:val="left"/>
      <w:pPr>
        <w:tabs>
          <w:tab w:val="num" w:pos="3780"/>
        </w:tabs>
        <w:ind w:left="3780" w:hanging="360"/>
      </w:pPr>
    </w:lvl>
    <w:lvl w:ilvl="5" w:tplc="3EF2240E" w:tentative="1">
      <w:start w:val="1"/>
      <w:numFmt w:val="lowerRoman"/>
      <w:lvlText w:val="%6."/>
      <w:lvlJc w:val="right"/>
      <w:pPr>
        <w:tabs>
          <w:tab w:val="num" w:pos="4500"/>
        </w:tabs>
        <w:ind w:left="4500" w:hanging="180"/>
      </w:pPr>
    </w:lvl>
    <w:lvl w:ilvl="6" w:tplc="78DCF4BA" w:tentative="1">
      <w:start w:val="1"/>
      <w:numFmt w:val="decimal"/>
      <w:lvlText w:val="%7."/>
      <w:lvlJc w:val="left"/>
      <w:pPr>
        <w:tabs>
          <w:tab w:val="num" w:pos="5220"/>
        </w:tabs>
        <w:ind w:left="5220" w:hanging="360"/>
      </w:pPr>
    </w:lvl>
    <w:lvl w:ilvl="7" w:tplc="41EEBAC0" w:tentative="1">
      <w:start w:val="1"/>
      <w:numFmt w:val="lowerLetter"/>
      <w:lvlText w:val="%8."/>
      <w:lvlJc w:val="left"/>
      <w:pPr>
        <w:tabs>
          <w:tab w:val="num" w:pos="5940"/>
        </w:tabs>
        <w:ind w:left="5940" w:hanging="360"/>
      </w:pPr>
    </w:lvl>
    <w:lvl w:ilvl="8" w:tplc="DCA2F682"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483EE954">
      <w:start w:val="1"/>
      <w:numFmt w:val="bullet"/>
      <w:lvlText w:val=""/>
      <w:lvlJc w:val="left"/>
      <w:pPr>
        <w:tabs>
          <w:tab w:val="num" w:pos="720"/>
        </w:tabs>
        <w:ind w:left="720" w:hanging="360"/>
      </w:pPr>
      <w:rPr>
        <w:rFonts w:ascii="Symbol" w:hAnsi="Symbol" w:hint="default"/>
      </w:rPr>
    </w:lvl>
    <w:lvl w:ilvl="1" w:tplc="BFFE2874" w:tentative="1">
      <w:start w:val="1"/>
      <w:numFmt w:val="bullet"/>
      <w:lvlText w:val="o"/>
      <w:lvlJc w:val="left"/>
      <w:pPr>
        <w:tabs>
          <w:tab w:val="num" w:pos="1440"/>
        </w:tabs>
        <w:ind w:left="1440" w:hanging="360"/>
      </w:pPr>
      <w:rPr>
        <w:rFonts w:ascii="Courier New" w:hAnsi="Courier New" w:hint="default"/>
      </w:rPr>
    </w:lvl>
    <w:lvl w:ilvl="2" w:tplc="558AE1EC" w:tentative="1">
      <w:start w:val="1"/>
      <w:numFmt w:val="bullet"/>
      <w:lvlText w:val=""/>
      <w:lvlJc w:val="left"/>
      <w:pPr>
        <w:tabs>
          <w:tab w:val="num" w:pos="2160"/>
        </w:tabs>
        <w:ind w:left="2160" w:hanging="360"/>
      </w:pPr>
      <w:rPr>
        <w:rFonts w:ascii="Wingdings" w:hAnsi="Wingdings" w:hint="default"/>
      </w:rPr>
    </w:lvl>
    <w:lvl w:ilvl="3" w:tplc="DEF037E4" w:tentative="1">
      <w:start w:val="1"/>
      <w:numFmt w:val="bullet"/>
      <w:lvlText w:val=""/>
      <w:lvlJc w:val="left"/>
      <w:pPr>
        <w:tabs>
          <w:tab w:val="num" w:pos="2880"/>
        </w:tabs>
        <w:ind w:left="2880" w:hanging="360"/>
      </w:pPr>
      <w:rPr>
        <w:rFonts w:ascii="Symbol" w:hAnsi="Symbol" w:hint="default"/>
      </w:rPr>
    </w:lvl>
    <w:lvl w:ilvl="4" w:tplc="89A4FD62" w:tentative="1">
      <w:start w:val="1"/>
      <w:numFmt w:val="bullet"/>
      <w:lvlText w:val="o"/>
      <w:lvlJc w:val="left"/>
      <w:pPr>
        <w:tabs>
          <w:tab w:val="num" w:pos="3600"/>
        </w:tabs>
        <w:ind w:left="3600" w:hanging="360"/>
      </w:pPr>
      <w:rPr>
        <w:rFonts w:ascii="Courier New" w:hAnsi="Courier New" w:hint="default"/>
      </w:rPr>
    </w:lvl>
    <w:lvl w:ilvl="5" w:tplc="344478CA" w:tentative="1">
      <w:start w:val="1"/>
      <w:numFmt w:val="bullet"/>
      <w:lvlText w:val=""/>
      <w:lvlJc w:val="left"/>
      <w:pPr>
        <w:tabs>
          <w:tab w:val="num" w:pos="4320"/>
        </w:tabs>
        <w:ind w:left="4320" w:hanging="360"/>
      </w:pPr>
      <w:rPr>
        <w:rFonts w:ascii="Wingdings" w:hAnsi="Wingdings" w:hint="default"/>
      </w:rPr>
    </w:lvl>
    <w:lvl w:ilvl="6" w:tplc="7E145BC2" w:tentative="1">
      <w:start w:val="1"/>
      <w:numFmt w:val="bullet"/>
      <w:lvlText w:val=""/>
      <w:lvlJc w:val="left"/>
      <w:pPr>
        <w:tabs>
          <w:tab w:val="num" w:pos="5040"/>
        </w:tabs>
        <w:ind w:left="5040" w:hanging="360"/>
      </w:pPr>
      <w:rPr>
        <w:rFonts w:ascii="Symbol" w:hAnsi="Symbol" w:hint="default"/>
      </w:rPr>
    </w:lvl>
    <w:lvl w:ilvl="7" w:tplc="97F87B2E" w:tentative="1">
      <w:start w:val="1"/>
      <w:numFmt w:val="bullet"/>
      <w:lvlText w:val="o"/>
      <w:lvlJc w:val="left"/>
      <w:pPr>
        <w:tabs>
          <w:tab w:val="num" w:pos="5760"/>
        </w:tabs>
        <w:ind w:left="5760" w:hanging="360"/>
      </w:pPr>
      <w:rPr>
        <w:rFonts w:ascii="Courier New" w:hAnsi="Courier New" w:hint="default"/>
      </w:rPr>
    </w:lvl>
    <w:lvl w:ilvl="8" w:tplc="21A8855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123639"/>
    <w:rsid w:val="001605F5"/>
    <w:rsid w:val="001826C6"/>
    <w:rsid w:val="00231D09"/>
    <w:rsid w:val="003643F0"/>
    <w:rsid w:val="0047543A"/>
    <w:rsid w:val="004A675F"/>
    <w:rsid w:val="004A7DB8"/>
    <w:rsid w:val="004C048E"/>
    <w:rsid w:val="005827FB"/>
    <w:rsid w:val="005A5112"/>
    <w:rsid w:val="005B5B0A"/>
    <w:rsid w:val="00632046"/>
    <w:rsid w:val="0064706A"/>
    <w:rsid w:val="00692A08"/>
    <w:rsid w:val="006B35DA"/>
    <w:rsid w:val="006F097E"/>
    <w:rsid w:val="00704A32"/>
    <w:rsid w:val="007328CD"/>
    <w:rsid w:val="00736717"/>
    <w:rsid w:val="007B5554"/>
    <w:rsid w:val="008674F6"/>
    <w:rsid w:val="009306A1"/>
    <w:rsid w:val="00984C6B"/>
    <w:rsid w:val="009B581D"/>
    <w:rsid w:val="00A801C0"/>
    <w:rsid w:val="00A96D21"/>
    <w:rsid w:val="00B02B7D"/>
    <w:rsid w:val="00B41265"/>
    <w:rsid w:val="00CA0507"/>
    <w:rsid w:val="00CE16C5"/>
    <w:rsid w:val="00D351D8"/>
    <w:rsid w:val="00D40198"/>
    <w:rsid w:val="00D47999"/>
    <w:rsid w:val="00DC69F1"/>
    <w:rsid w:val="00E046B2"/>
    <w:rsid w:val="00E61AB6"/>
    <w:rsid w:val="00E71A7A"/>
    <w:rsid w:val="00E9636B"/>
    <w:rsid w:val="00EE5954"/>
    <w:rsid w:val="00EF007E"/>
    <w:rsid w:val="00F247B0"/>
    <w:rsid w:val="00F344CF"/>
    <w:rsid w:val="00FA0B96"/>
    <w:rsid w:val="00FA23DE"/>
    <w:rsid w:val="00FA24DB"/>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0559E"/>
  <w15:docId w15:val="{4E999525-9664-4CE6-B042-9E86209D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632046"/>
    <w:rPr>
      <w:color w:val="605E5C"/>
      <w:shd w:val="clear" w:color="auto" w:fill="E1DFDD"/>
    </w:rPr>
  </w:style>
  <w:style w:type="character" w:customStyle="1" w:styleId="gi">
    <w:name w:val="gi"/>
    <w:rsid w:val="004A7DB8"/>
  </w:style>
  <w:style w:type="paragraph" w:styleId="BalloonText">
    <w:name w:val="Balloon Text"/>
    <w:basedOn w:val="Normal"/>
    <w:link w:val="BalloonTextChar"/>
    <w:rsid w:val="001826C6"/>
    <w:rPr>
      <w:rFonts w:ascii="Segoe UI" w:hAnsi="Segoe UI" w:cs="Segoe UI"/>
      <w:sz w:val="18"/>
      <w:szCs w:val="18"/>
    </w:rPr>
  </w:style>
  <w:style w:type="character" w:customStyle="1" w:styleId="BalloonTextChar">
    <w:name w:val="Balloon Text Char"/>
    <w:basedOn w:val="DefaultParagraphFont"/>
    <w:link w:val="BalloonText"/>
    <w:rsid w:val="001826C6"/>
    <w:rPr>
      <w:rFonts w:ascii="Segoe UI" w:hAnsi="Segoe UI" w:cs="Segoe UI"/>
      <w:sz w:val="18"/>
      <w:szCs w:val="18"/>
      <w:lang w:val="en-GB"/>
    </w:rPr>
  </w:style>
  <w:style w:type="paragraph" w:customStyle="1" w:styleId="eceee-Tabletext">
    <w:name w:val="_eceee - Table text"/>
    <w:basedOn w:val="Normal"/>
    <w:rsid w:val="001826C6"/>
    <w:pPr>
      <w:tabs>
        <w:tab w:val="left" w:pos="1440"/>
        <w:tab w:val="left" w:pos="5040"/>
      </w:tabs>
      <w:spacing w:line="220" w:lineRule="atLeast"/>
    </w:pPr>
    <w:rPr>
      <w:rFonts w:ascii="Arial" w:hAnsi="Arial"/>
      <w:sz w:val="16"/>
      <w:lang w:eastAsia="sv-SE"/>
    </w:rPr>
  </w:style>
  <w:style w:type="paragraph" w:customStyle="1" w:styleId="eceee-Tableheading">
    <w:name w:val="_eceee - Table heading"/>
    <w:basedOn w:val="Normal"/>
    <w:rsid w:val="001826C6"/>
    <w:pPr>
      <w:spacing w:before="160" w:after="60" w:line="240" w:lineRule="atLeast"/>
      <w:jc w:val="both"/>
    </w:pPr>
    <w:rPr>
      <w:rFonts w:eastAsia="MS Mincho"/>
      <w:b/>
      <w:lang w:eastAsia="sv-SE"/>
    </w:rPr>
  </w:style>
  <w:style w:type="paragraph" w:customStyle="1" w:styleId="TableCell">
    <w:name w:val="Table Cell"/>
    <w:basedOn w:val="Normal"/>
    <w:qFormat/>
    <w:rsid w:val="001826C6"/>
    <w:pPr>
      <w:keepNext/>
      <w:keepLines/>
      <w:tabs>
        <w:tab w:val="left" w:pos="340"/>
        <w:tab w:val="left" w:pos="680"/>
      </w:tabs>
      <w:spacing w:before="20" w:after="20"/>
      <w:jc w:val="right"/>
    </w:pPr>
    <w:rPr>
      <w:rFonts w:ascii="Arial Narrow" w:eastAsia="SimSun" w:hAnsi="Arial Narrow" w:cs="Arial"/>
      <w:sz w:val="17"/>
      <w:szCs w:val="18"/>
    </w:rPr>
  </w:style>
  <w:style w:type="character" w:styleId="FootnoteReference">
    <w:name w:val="footnote reference"/>
    <w:uiPriority w:val="99"/>
    <w:semiHidden/>
    <w:rsid w:val="00984C6B"/>
    <w:rPr>
      <w:vertAlign w:val="superscript"/>
    </w:rPr>
  </w:style>
  <w:style w:type="paragraph" w:styleId="FootnoteText">
    <w:name w:val="footnote text"/>
    <w:basedOn w:val="Normal"/>
    <w:link w:val="FootnoteTextChar"/>
    <w:uiPriority w:val="99"/>
    <w:semiHidden/>
    <w:rsid w:val="00984C6B"/>
    <w:rPr>
      <w:rFonts w:eastAsia="MS Mincho"/>
      <w:szCs w:val="24"/>
      <w:lang w:eastAsia="sv-SE"/>
    </w:rPr>
  </w:style>
  <w:style w:type="character" w:customStyle="1" w:styleId="FootnoteTextChar">
    <w:name w:val="Footnote Text Char"/>
    <w:basedOn w:val="DefaultParagraphFont"/>
    <w:link w:val="FootnoteText"/>
    <w:uiPriority w:val="99"/>
    <w:semiHidden/>
    <w:rsid w:val="00984C6B"/>
    <w:rPr>
      <w:rFonts w:ascii="Times New Roman" w:eastAsia="MS Mincho" w:hAnsi="Times New Roman"/>
      <w:szCs w:val="24"/>
      <w:lang w:val="en-GB" w:eastAsia="sv-SE"/>
    </w:rPr>
  </w:style>
  <w:style w:type="paragraph" w:customStyle="1" w:styleId="eceee-BodyText">
    <w:name w:val="_eceee - Body Text"/>
    <w:basedOn w:val="BodyText"/>
    <w:rsid w:val="00984C6B"/>
    <w:pPr>
      <w:spacing w:before="80" w:after="80" w:line="240" w:lineRule="atLeast"/>
    </w:pPr>
    <w:rPr>
      <w:rFonts w:eastAsia="MS Mincho"/>
      <w:sz w:val="20"/>
      <w:lang w:eastAsia="sv-SE"/>
    </w:rPr>
  </w:style>
  <w:style w:type="paragraph" w:styleId="CommentText">
    <w:name w:val="annotation text"/>
    <w:basedOn w:val="Normal"/>
    <w:link w:val="CommentTextChar"/>
    <w:rsid w:val="00984C6B"/>
    <w:pPr>
      <w:jc w:val="both"/>
    </w:pPr>
    <w:rPr>
      <w:rFonts w:eastAsia="SimSun"/>
      <w:sz w:val="22"/>
    </w:rPr>
  </w:style>
  <w:style w:type="character" w:customStyle="1" w:styleId="CommentTextChar">
    <w:name w:val="Comment Text Char"/>
    <w:basedOn w:val="DefaultParagraphFont"/>
    <w:link w:val="CommentText"/>
    <w:rsid w:val="00984C6B"/>
    <w:rPr>
      <w:rFonts w:ascii="Times New Roman" w:eastAsia="SimSun" w:hAnsi="Times New Roman"/>
      <w:sz w:val="22"/>
      <w:lang w:val="en-GB"/>
    </w:rPr>
  </w:style>
  <w:style w:type="character" w:styleId="CommentReference">
    <w:name w:val="annotation reference"/>
    <w:uiPriority w:val="99"/>
    <w:unhideWhenUsed/>
    <w:rsid w:val="00984C6B"/>
    <w:rPr>
      <w:sz w:val="16"/>
      <w:szCs w:val="16"/>
    </w:rPr>
  </w:style>
  <w:style w:type="table" w:customStyle="1" w:styleId="TableGrid">
    <w:name w:val="TableGrid"/>
    <w:rsid w:val="0064706A"/>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petrov@ucdconnect.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isa.ryan@ucd.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00F73-F574-4E84-A6CA-0B11D08F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1225</Words>
  <Characters>6987</Characters>
  <Application>Microsoft Office Word</Application>
  <DocSecurity>0</DocSecurity>
  <Lines>58</Lines>
  <Paragraphs>16</Paragraphs>
  <ScaleCrop>false</ScaleCrop>
  <HeadingPairs>
    <vt:vector size="6" baseType="variant">
      <vt:variant>
        <vt:lpstr>Title</vt:lpstr>
      </vt:variant>
      <vt:variant>
        <vt:i4>1</vt:i4>
      </vt:variant>
      <vt:variant>
        <vt:lpstr>Headings</vt:lpstr>
      </vt:variant>
      <vt:variant>
        <vt:i4>5</vt:i4>
      </vt:variant>
      <vt:variant>
        <vt:lpstr>Naslov</vt:lpstr>
      </vt:variant>
      <vt:variant>
        <vt:i4>1</vt:i4>
      </vt:variant>
    </vt:vector>
  </HeadingPairs>
  <TitlesOfParts>
    <vt:vector size="7" baseType="lpstr">
      <vt:lpstr/>
      <vt:lpstr>    Overview</vt:lpstr>
      <vt:lpstr>    In this study, we attempt to quantify and disentangle the effect of each of thes</vt:lpstr>
      <vt:lpstr>    Methods</vt:lpstr>
      <vt:lpstr>    Results</vt:lpstr>
      <vt:lpstr>    Conclusions</vt:lpstr>
      <vt:lpstr>       </vt:lpstr>
    </vt:vector>
  </TitlesOfParts>
  <Company>Ekonomska fakulteta</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X240</cp:lastModifiedBy>
  <cp:revision>12</cp:revision>
  <cp:lastPrinted>2019-03-14T12:26:00Z</cp:lastPrinted>
  <dcterms:created xsi:type="dcterms:W3CDTF">2019-03-13T12:02:00Z</dcterms:created>
  <dcterms:modified xsi:type="dcterms:W3CDTF">2019-03-15T10:44:00Z</dcterms:modified>
</cp:coreProperties>
</file>