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22" w:rsidRPr="005960A0" w:rsidRDefault="002E0CB5" w:rsidP="00394222">
      <w:pPr>
        <w:pStyle w:val="Heading1"/>
        <w:rPr>
          <w:rStyle w:val="1GrobuchstabenChar"/>
          <w:i/>
          <w:noProof/>
          <w:lang w:val="en-US"/>
        </w:rPr>
      </w:pPr>
      <w:r>
        <w:rPr>
          <w:rStyle w:val="1GrobuchstabenChar"/>
          <w:i/>
          <w:noProof/>
          <w:lang w:val="en-US"/>
        </w:rPr>
        <w:t xml:space="preserve">forecasting </w:t>
      </w:r>
      <w:r w:rsidR="006B5B07">
        <w:rPr>
          <w:rStyle w:val="1GrobuchstabenChar"/>
          <w:i/>
          <w:noProof/>
          <w:lang w:val="en-US"/>
        </w:rPr>
        <w:t xml:space="preserve">New Well </w:t>
      </w:r>
      <w:r w:rsidR="0052747C">
        <w:rPr>
          <w:rStyle w:val="1GrobuchstabenChar"/>
          <w:i/>
          <w:noProof/>
          <w:lang w:val="en-US"/>
        </w:rPr>
        <w:t>supply</w:t>
      </w:r>
      <w:r>
        <w:rPr>
          <w:rStyle w:val="1GrobuchstabenChar"/>
          <w:i/>
          <w:noProof/>
          <w:lang w:val="en-US"/>
        </w:rPr>
        <w:t xml:space="preserve"> </w:t>
      </w:r>
      <w:r w:rsidR="006B5B07">
        <w:rPr>
          <w:rStyle w:val="1GrobuchstabenChar"/>
          <w:i/>
          <w:noProof/>
          <w:lang w:val="en-US"/>
        </w:rPr>
        <w:t xml:space="preserve">for </w:t>
      </w:r>
      <w:r w:rsidR="00EA199D">
        <w:rPr>
          <w:rStyle w:val="1GrobuchstabenChar"/>
          <w:i/>
          <w:noProof/>
          <w:lang w:val="en-US"/>
        </w:rPr>
        <w:t xml:space="preserve">Oil and natural gas </w:t>
      </w:r>
    </w:p>
    <w:p w:rsidR="00394222" w:rsidRPr="005960A0" w:rsidRDefault="00B70C02" w:rsidP="006B5B07">
      <w:pPr>
        <w:pStyle w:val="Heading3"/>
      </w:pPr>
      <w:r>
        <w:rPr>
          <w:rStyle w:val="1KursivChar"/>
          <w:b w:val="0"/>
          <w:i w:val="0"/>
          <w:sz w:val="20"/>
          <w:szCs w:val="20"/>
          <w:lang w:val="en-US"/>
        </w:rPr>
        <w:t>Elmira Kalhor</w:t>
      </w:r>
      <w:r w:rsidR="005960A0" w:rsidRPr="005960A0">
        <w:rPr>
          <w:rStyle w:val="1KursivChar"/>
          <w:b w:val="0"/>
          <w:i w:val="0"/>
          <w:sz w:val="20"/>
          <w:szCs w:val="20"/>
          <w:lang w:val="en-US"/>
        </w:rPr>
        <w:t xml:space="preserve">, </w:t>
      </w:r>
      <w:r>
        <w:t>University of New Mexico</w:t>
      </w:r>
      <w:r w:rsidR="00394222" w:rsidRPr="005960A0">
        <w:t xml:space="preserve">, </w:t>
      </w:r>
      <w:r w:rsidR="005960A0" w:rsidRPr="005960A0">
        <w:t xml:space="preserve">Phone +1 </w:t>
      </w:r>
      <w:r w:rsidR="00471A6F" w:rsidRPr="00471A6F">
        <w:t>505 277 53 04</w:t>
      </w:r>
      <w:r w:rsidR="00394222" w:rsidRPr="005960A0">
        <w:t xml:space="preserve">, E-mail: </w:t>
      </w:r>
      <w:bookmarkStart w:id="0" w:name="OLE_LINK17"/>
      <w:r>
        <w:t>ekalhor</w:t>
      </w:r>
      <w:r w:rsidR="00394222" w:rsidRPr="005960A0">
        <w:t>@</w:t>
      </w:r>
      <w:r>
        <w:t>unm</w:t>
      </w:r>
      <w:r w:rsidR="00394222" w:rsidRPr="005960A0">
        <w:t>.</w:t>
      </w:r>
      <w:bookmarkStart w:id="1" w:name="OLE_LINK18"/>
      <w:bookmarkEnd w:id="0"/>
      <w:r>
        <w:t>edu</w:t>
      </w:r>
      <w:r w:rsidR="00394222" w:rsidRPr="005960A0">
        <w:br/>
      </w:r>
      <w:r>
        <w:rPr>
          <w:rStyle w:val="1KursivChar"/>
          <w:b w:val="0"/>
          <w:i w:val="0"/>
          <w:sz w:val="20"/>
          <w:szCs w:val="20"/>
          <w:lang w:val="en-US"/>
        </w:rPr>
        <w:t>Janie M. Chermak</w:t>
      </w:r>
      <w:r w:rsidRPr="005960A0">
        <w:rPr>
          <w:rStyle w:val="1KursivChar"/>
          <w:b w:val="0"/>
          <w:i w:val="0"/>
          <w:sz w:val="20"/>
          <w:szCs w:val="20"/>
          <w:lang w:val="en-US"/>
        </w:rPr>
        <w:t xml:space="preserve">, </w:t>
      </w:r>
      <w:r>
        <w:t>University of New Mexico</w:t>
      </w:r>
      <w:r w:rsidRPr="005960A0">
        <w:t xml:space="preserve">, Phone +1 </w:t>
      </w:r>
      <w:r w:rsidRPr="00B70C02">
        <w:t>505 277</w:t>
      </w:r>
      <w:r>
        <w:t xml:space="preserve"> </w:t>
      </w:r>
      <w:r w:rsidRPr="00B70C02">
        <w:t>53</w:t>
      </w:r>
      <w:r>
        <w:t xml:space="preserve"> </w:t>
      </w:r>
      <w:r w:rsidRPr="00B70C02">
        <w:t>04</w:t>
      </w:r>
      <w:r w:rsidRPr="005960A0">
        <w:t xml:space="preserve">, E-mail: </w:t>
      </w:r>
      <w:r>
        <w:t>jchermak</w:t>
      </w:r>
      <w:r w:rsidRPr="005960A0">
        <w:t>@</w:t>
      </w:r>
      <w:r>
        <w:t>unm</w:t>
      </w:r>
      <w:r w:rsidRPr="005960A0">
        <w:t>.</w:t>
      </w:r>
      <w:r>
        <w:t>edu</w:t>
      </w:r>
      <w:bookmarkEnd w:id="1"/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Overview</w:t>
      </w:r>
    </w:p>
    <w:p w:rsidR="0052747C" w:rsidRDefault="006B5B07" w:rsidP="00211F29">
      <w:p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The </w:t>
      </w:r>
      <w:r w:rsidR="0052747C" w:rsidRPr="0052747C">
        <w:rPr>
          <w:noProof/>
          <w:sz w:val="20"/>
          <w:szCs w:val="20"/>
          <w:lang w:val="en-US"/>
        </w:rPr>
        <w:t>Oil and Gas Supply Module</w:t>
      </w:r>
      <w:r w:rsidR="0052747C">
        <w:rPr>
          <w:noProof/>
          <w:sz w:val="20"/>
          <w:szCs w:val="20"/>
          <w:lang w:val="en-US"/>
        </w:rPr>
        <w:t xml:space="preserve"> (OGSM)</w:t>
      </w:r>
      <w:r w:rsidR="0052747C" w:rsidRPr="0052747C">
        <w:rPr>
          <w:noProof/>
          <w:sz w:val="20"/>
          <w:szCs w:val="20"/>
          <w:lang w:val="en-US"/>
        </w:rPr>
        <w:t xml:space="preserve"> of</w:t>
      </w:r>
      <w:r w:rsidR="0052747C">
        <w:rPr>
          <w:noProof/>
          <w:sz w:val="20"/>
          <w:szCs w:val="20"/>
          <w:lang w:val="en-US"/>
        </w:rPr>
        <w:t xml:space="preserve"> </w:t>
      </w:r>
      <w:r w:rsidR="0052747C" w:rsidRPr="0052747C">
        <w:rPr>
          <w:noProof/>
          <w:sz w:val="20"/>
          <w:szCs w:val="20"/>
          <w:lang w:val="en-US"/>
        </w:rPr>
        <w:t>the National Energy Modeling</w:t>
      </w:r>
      <w:r w:rsidR="0052747C">
        <w:rPr>
          <w:noProof/>
          <w:sz w:val="20"/>
          <w:szCs w:val="20"/>
          <w:lang w:val="en-US"/>
        </w:rPr>
        <w:t xml:space="preserve"> </w:t>
      </w:r>
      <w:r w:rsidR="0052747C" w:rsidRPr="0052747C">
        <w:rPr>
          <w:noProof/>
          <w:sz w:val="20"/>
          <w:szCs w:val="20"/>
          <w:lang w:val="en-US"/>
        </w:rPr>
        <w:t>System</w:t>
      </w:r>
      <w:r w:rsidR="0052747C">
        <w:rPr>
          <w:noProof/>
          <w:sz w:val="20"/>
          <w:szCs w:val="20"/>
          <w:lang w:val="en-US"/>
        </w:rPr>
        <w:t xml:space="preserve"> (NEMS)</w:t>
      </w:r>
      <w:r w:rsidR="00471A6F">
        <w:rPr>
          <w:noProof/>
          <w:sz w:val="20"/>
          <w:szCs w:val="20"/>
          <w:lang w:val="en-US"/>
        </w:rPr>
        <w:t xml:space="preserve"> (U.S. EIA. 2014)</w:t>
      </w:r>
      <w:r w:rsidR="0052747C">
        <w:rPr>
          <w:noProof/>
          <w:sz w:val="20"/>
          <w:szCs w:val="20"/>
          <w:lang w:val="en-US"/>
        </w:rPr>
        <w:t xml:space="preserve"> is a fo</w:t>
      </w:r>
      <w:r w:rsidR="00FC5172">
        <w:rPr>
          <w:noProof/>
          <w:sz w:val="20"/>
          <w:szCs w:val="20"/>
          <w:lang w:val="en-US"/>
        </w:rPr>
        <w:t xml:space="preserve">recasting tool </w:t>
      </w:r>
      <w:r>
        <w:rPr>
          <w:noProof/>
          <w:sz w:val="20"/>
          <w:szCs w:val="20"/>
          <w:lang w:val="en-US"/>
        </w:rPr>
        <w:t xml:space="preserve">that utilizes type curves to </w:t>
      </w:r>
      <w:r w:rsidR="00FC5172">
        <w:rPr>
          <w:noProof/>
          <w:sz w:val="20"/>
          <w:szCs w:val="20"/>
          <w:lang w:val="en-US"/>
        </w:rPr>
        <w:t>estimate</w:t>
      </w:r>
      <w:r>
        <w:rPr>
          <w:noProof/>
          <w:sz w:val="20"/>
          <w:szCs w:val="20"/>
          <w:lang w:val="en-US"/>
        </w:rPr>
        <w:t xml:space="preserve"> the</w:t>
      </w:r>
      <w:r w:rsidR="00FC5172">
        <w:rPr>
          <w:noProof/>
          <w:sz w:val="20"/>
          <w:szCs w:val="20"/>
          <w:lang w:val="en-US"/>
        </w:rPr>
        <w:t xml:space="preserve"> supply of </w:t>
      </w:r>
      <w:r>
        <w:rPr>
          <w:noProof/>
          <w:sz w:val="20"/>
          <w:szCs w:val="20"/>
          <w:lang w:val="en-US"/>
        </w:rPr>
        <w:t>o</w:t>
      </w:r>
      <w:r w:rsidR="00FC5172">
        <w:rPr>
          <w:noProof/>
          <w:sz w:val="20"/>
          <w:szCs w:val="20"/>
          <w:lang w:val="en-US"/>
        </w:rPr>
        <w:t xml:space="preserve">il and </w:t>
      </w:r>
      <w:r>
        <w:rPr>
          <w:noProof/>
          <w:sz w:val="20"/>
          <w:szCs w:val="20"/>
          <w:lang w:val="en-US"/>
        </w:rPr>
        <w:t>n</w:t>
      </w:r>
      <w:r w:rsidR="00FC5172">
        <w:rPr>
          <w:noProof/>
          <w:sz w:val="20"/>
          <w:szCs w:val="20"/>
          <w:lang w:val="en-US"/>
        </w:rPr>
        <w:t>atural gas</w:t>
      </w:r>
      <w:r>
        <w:rPr>
          <w:noProof/>
          <w:sz w:val="20"/>
          <w:szCs w:val="20"/>
          <w:lang w:val="en-US"/>
        </w:rPr>
        <w:t>,</w:t>
      </w:r>
      <w:r w:rsidR="00FC5172">
        <w:rPr>
          <w:noProof/>
          <w:sz w:val="20"/>
          <w:szCs w:val="20"/>
          <w:lang w:val="en-US"/>
        </w:rPr>
        <w:t xml:space="preserve"> </w:t>
      </w:r>
      <w:r w:rsidR="008D4C59" w:rsidRPr="008D4C59">
        <w:rPr>
          <w:noProof/>
          <w:sz w:val="20"/>
          <w:szCs w:val="20"/>
          <w:lang w:val="en-US"/>
        </w:rPr>
        <w:t xml:space="preserve">disaggregated </w:t>
      </w:r>
      <w:r w:rsidR="00FC5172">
        <w:rPr>
          <w:noProof/>
          <w:sz w:val="20"/>
          <w:szCs w:val="20"/>
          <w:lang w:val="en-US"/>
        </w:rPr>
        <w:t>at the conventional and unconventional levels</w:t>
      </w:r>
      <w:r>
        <w:rPr>
          <w:noProof/>
          <w:sz w:val="20"/>
          <w:szCs w:val="20"/>
          <w:lang w:val="en-US"/>
        </w:rPr>
        <w:t>,</w:t>
      </w:r>
      <w:r w:rsidR="00FC5172">
        <w:rPr>
          <w:noProof/>
          <w:sz w:val="20"/>
          <w:szCs w:val="20"/>
          <w:lang w:val="en-US"/>
        </w:rPr>
        <w:t xml:space="preserve"> by geographic region.</w:t>
      </w:r>
      <w:r w:rsidR="00277B1C">
        <w:rPr>
          <w:noProof/>
          <w:sz w:val="20"/>
          <w:szCs w:val="20"/>
          <w:lang w:val="en-US"/>
        </w:rPr>
        <w:t xml:space="preserve"> The objective of this study is to expand on the OGSM</w:t>
      </w:r>
      <w:r w:rsidR="009D0FF6">
        <w:rPr>
          <w:noProof/>
          <w:sz w:val="20"/>
          <w:szCs w:val="20"/>
          <w:lang w:val="en-US"/>
        </w:rPr>
        <w:t>’s</w:t>
      </w:r>
      <w:r w:rsidR="00277B1C">
        <w:rPr>
          <w:noProof/>
          <w:sz w:val="20"/>
          <w:szCs w:val="20"/>
          <w:lang w:val="en-US"/>
        </w:rPr>
        <w:t xml:space="preserve"> type curve parameters</w:t>
      </w:r>
      <w:r w:rsidR="009D0FF6">
        <w:rPr>
          <w:noProof/>
          <w:sz w:val="20"/>
          <w:szCs w:val="20"/>
          <w:lang w:val="en-US"/>
        </w:rPr>
        <w:t>’</w:t>
      </w:r>
      <w:r w:rsidR="00277B1C">
        <w:rPr>
          <w:noProof/>
          <w:sz w:val="20"/>
          <w:szCs w:val="20"/>
          <w:lang w:val="en-US"/>
        </w:rPr>
        <w:t xml:space="preserve"> estimation model to </w:t>
      </w:r>
      <w:r w:rsidR="008D4C59" w:rsidRPr="008D4C59">
        <w:rPr>
          <w:noProof/>
          <w:sz w:val="20"/>
          <w:szCs w:val="20"/>
          <w:lang w:val="en-US"/>
        </w:rPr>
        <w:t xml:space="preserve">disaggregate </w:t>
      </w:r>
      <w:r w:rsidR="001821CC">
        <w:rPr>
          <w:noProof/>
          <w:sz w:val="20"/>
          <w:szCs w:val="20"/>
          <w:lang w:val="en-US"/>
        </w:rPr>
        <w:t xml:space="preserve">supply of oil </w:t>
      </w:r>
      <w:r w:rsidR="00277B1C">
        <w:rPr>
          <w:noProof/>
          <w:sz w:val="20"/>
          <w:szCs w:val="20"/>
          <w:lang w:val="en-US"/>
        </w:rPr>
        <w:t xml:space="preserve">from horizontal and vertical </w:t>
      </w:r>
      <w:r w:rsidR="001821CC">
        <w:rPr>
          <w:noProof/>
          <w:sz w:val="20"/>
          <w:szCs w:val="20"/>
          <w:lang w:val="en-US"/>
        </w:rPr>
        <w:t xml:space="preserve">new </w:t>
      </w:r>
      <w:r w:rsidR="00277B1C">
        <w:rPr>
          <w:noProof/>
          <w:sz w:val="20"/>
          <w:szCs w:val="20"/>
          <w:lang w:val="en-US"/>
        </w:rPr>
        <w:t xml:space="preserve">wells </w:t>
      </w:r>
      <w:r>
        <w:rPr>
          <w:noProof/>
          <w:sz w:val="20"/>
          <w:szCs w:val="20"/>
          <w:lang w:val="en-US"/>
        </w:rPr>
        <w:t xml:space="preserve">by formation.  </w:t>
      </w:r>
      <w:r w:rsidR="008D4C59">
        <w:rPr>
          <w:noProof/>
          <w:sz w:val="20"/>
          <w:szCs w:val="20"/>
          <w:lang w:val="en-US"/>
        </w:rPr>
        <w:t>In addition, the produc</w:t>
      </w:r>
      <w:r w:rsidR="001821CC">
        <w:rPr>
          <w:noProof/>
          <w:sz w:val="20"/>
          <w:szCs w:val="20"/>
          <w:lang w:val="en-US"/>
        </w:rPr>
        <w:t>t</w:t>
      </w:r>
      <w:r w:rsidR="008D4C59">
        <w:rPr>
          <w:noProof/>
          <w:sz w:val="20"/>
          <w:szCs w:val="20"/>
          <w:lang w:val="en-US"/>
        </w:rPr>
        <w:t>i</w:t>
      </w:r>
      <w:r w:rsidR="001821CC">
        <w:rPr>
          <w:noProof/>
          <w:sz w:val="20"/>
          <w:szCs w:val="20"/>
          <w:lang w:val="en-US"/>
        </w:rPr>
        <w:t xml:space="preserve">on of new wells is disaggregated by the year of </w:t>
      </w:r>
      <w:r w:rsidR="000A0221">
        <w:rPr>
          <w:noProof/>
          <w:sz w:val="20"/>
          <w:szCs w:val="20"/>
          <w:lang w:val="en-US"/>
        </w:rPr>
        <w:t>completion</w:t>
      </w:r>
      <w:r w:rsidR="001821CC">
        <w:rPr>
          <w:noProof/>
          <w:sz w:val="20"/>
          <w:szCs w:val="20"/>
          <w:lang w:val="en-US"/>
        </w:rPr>
        <w:t xml:space="preserve">, which allows </w:t>
      </w:r>
      <w:r w:rsidR="001A5952">
        <w:rPr>
          <w:noProof/>
          <w:sz w:val="20"/>
          <w:szCs w:val="20"/>
          <w:lang w:val="en-US"/>
        </w:rPr>
        <w:t xml:space="preserve">mapping </w:t>
      </w:r>
      <w:r>
        <w:rPr>
          <w:noProof/>
          <w:sz w:val="20"/>
          <w:szCs w:val="20"/>
          <w:lang w:val="en-US"/>
        </w:rPr>
        <w:t xml:space="preserve">production </w:t>
      </w:r>
      <w:r w:rsidR="001A5952">
        <w:rPr>
          <w:noProof/>
          <w:sz w:val="20"/>
          <w:szCs w:val="20"/>
          <w:lang w:val="en-US"/>
        </w:rPr>
        <w:t xml:space="preserve">trends over time. </w:t>
      </w:r>
      <w:r w:rsidR="0099027E">
        <w:rPr>
          <w:noProof/>
          <w:sz w:val="20"/>
          <w:szCs w:val="20"/>
          <w:lang w:val="en-US"/>
        </w:rPr>
        <w:t xml:space="preserve">This study </w:t>
      </w:r>
      <w:r>
        <w:rPr>
          <w:noProof/>
          <w:sz w:val="20"/>
          <w:szCs w:val="20"/>
          <w:lang w:val="en-US"/>
        </w:rPr>
        <w:t xml:space="preserve">focuses on </w:t>
      </w:r>
      <w:r w:rsidR="0099027E">
        <w:rPr>
          <w:noProof/>
          <w:sz w:val="20"/>
          <w:szCs w:val="20"/>
          <w:lang w:val="en-US"/>
        </w:rPr>
        <w:t>New Mexico’s Permian and San Juan basins as the case study but the estimation framework can be expanded to all onshore plays.</w:t>
      </w:r>
      <w:r w:rsidR="00B10E34">
        <w:rPr>
          <w:noProof/>
          <w:sz w:val="20"/>
          <w:szCs w:val="20"/>
          <w:lang w:val="en-US"/>
        </w:rPr>
        <w:t xml:space="preserve"> </w:t>
      </w:r>
      <w:r w:rsidR="009D0FF6">
        <w:rPr>
          <w:noProof/>
          <w:sz w:val="20"/>
          <w:szCs w:val="20"/>
          <w:lang w:val="en-US"/>
        </w:rPr>
        <w:t>Monthly p</w:t>
      </w:r>
      <w:r w:rsidR="005E0D04">
        <w:rPr>
          <w:noProof/>
          <w:sz w:val="20"/>
          <w:szCs w:val="20"/>
          <w:lang w:val="en-US"/>
        </w:rPr>
        <w:t>roduction data for wells drilled between 2001 and 2015 in Permian and San Juan basins are used</w:t>
      </w:r>
      <w:r w:rsidR="008D4C59">
        <w:rPr>
          <w:noProof/>
          <w:sz w:val="20"/>
          <w:szCs w:val="20"/>
          <w:lang w:val="en-US"/>
        </w:rPr>
        <w:t xml:space="preserve"> for this study. On average, na</w:t>
      </w:r>
      <w:r w:rsidR="005E0D04">
        <w:rPr>
          <w:noProof/>
          <w:sz w:val="20"/>
          <w:szCs w:val="20"/>
          <w:lang w:val="en-US"/>
        </w:rPr>
        <w:t>t</w:t>
      </w:r>
      <w:r w:rsidR="008D4C59">
        <w:rPr>
          <w:noProof/>
          <w:sz w:val="20"/>
          <w:szCs w:val="20"/>
          <w:lang w:val="en-US"/>
        </w:rPr>
        <w:t>u</w:t>
      </w:r>
      <w:r w:rsidR="005E0D04">
        <w:rPr>
          <w:noProof/>
          <w:sz w:val="20"/>
          <w:szCs w:val="20"/>
          <w:lang w:val="en-US"/>
        </w:rPr>
        <w:t>ral gas production data from 1,055 wells per year and oil production from 785 wells per year are analyzed</w:t>
      </w:r>
      <w:r w:rsidR="00B10E34">
        <w:rPr>
          <w:noProof/>
          <w:sz w:val="20"/>
          <w:szCs w:val="20"/>
          <w:lang w:val="en-US"/>
        </w:rPr>
        <w:t>.</w:t>
      </w:r>
      <w:r w:rsidR="005E0D04">
        <w:rPr>
          <w:noProof/>
          <w:sz w:val="20"/>
          <w:szCs w:val="20"/>
          <w:lang w:val="en-US"/>
        </w:rPr>
        <w:t xml:space="preserve"> The analysis include refining and disaggregating production data, and finding optimal type curve parameters using a nonlinear </w:t>
      </w:r>
      <w:r w:rsidR="0032340C">
        <w:rPr>
          <w:noProof/>
          <w:sz w:val="20"/>
          <w:szCs w:val="20"/>
          <w:lang w:val="en-US"/>
        </w:rPr>
        <w:t>least squares method.</w:t>
      </w:r>
      <w:r w:rsidR="008665D0">
        <w:rPr>
          <w:noProof/>
          <w:sz w:val="20"/>
          <w:szCs w:val="20"/>
          <w:lang w:val="en-US"/>
        </w:rPr>
        <w:t xml:space="preserve"> In addition to providing a more detailed forecast system, this supply model informs a statewide system dynamic</w:t>
      </w:r>
      <w:r w:rsidR="00C75FE7">
        <w:rPr>
          <w:noProof/>
          <w:sz w:val="20"/>
          <w:szCs w:val="20"/>
          <w:lang w:val="en-US"/>
        </w:rPr>
        <w:t>s</w:t>
      </w:r>
      <w:r w:rsidR="008665D0">
        <w:rPr>
          <w:noProof/>
          <w:sz w:val="20"/>
          <w:szCs w:val="20"/>
          <w:lang w:val="en-US"/>
        </w:rPr>
        <w:t xml:space="preserve"> energy water nexus model</w:t>
      </w:r>
      <w:r w:rsidR="006F4B46">
        <w:rPr>
          <w:noProof/>
          <w:sz w:val="20"/>
          <w:szCs w:val="20"/>
          <w:lang w:val="en-US"/>
        </w:rPr>
        <w:t xml:space="preserve"> in New Mexico</w:t>
      </w:r>
      <w:r w:rsidR="008665D0">
        <w:rPr>
          <w:noProof/>
          <w:sz w:val="20"/>
          <w:szCs w:val="20"/>
          <w:lang w:val="en-US"/>
        </w:rPr>
        <w:t xml:space="preserve">. </w:t>
      </w:r>
      <w:r w:rsidR="001A5952">
        <w:rPr>
          <w:noProof/>
          <w:sz w:val="20"/>
          <w:szCs w:val="20"/>
          <w:lang w:val="en-US"/>
        </w:rPr>
        <w:t xml:space="preserve">  </w:t>
      </w:r>
    </w:p>
    <w:p w:rsidR="0052747C" w:rsidRDefault="0052747C" w:rsidP="00394222">
      <w:pPr>
        <w:rPr>
          <w:noProof/>
          <w:sz w:val="20"/>
          <w:szCs w:val="20"/>
          <w:lang w:val="en-US"/>
        </w:rPr>
      </w:pPr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Methods</w:t>
      </w:r>
    </w:p>
    <w:p w:rsidR="00394222" w:rsidRDefault="00841D99" w:rsidP="00394222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Nonlinear least square estimation method is used to estimate the decline curve parameters of </w:t>
      </w:r>
      <w:r w:rsidR="006F4B46">
        <w:rPr>
          <w:noProof/>
          <w:sz w:val="20"/>
          <w:szCs w:val="20"/>
          <w:lang w:val="en-US"/>
        </w:rPr>
        <w:t>d</w:t>
      </w:r>
      <w:r w:rsidR="0049483C">
        <w:rPr>
          <w:noProof/>
          <w:sz w:val="20"/>
          <w:szCs w:val="20"/>
          <w:lang w:val="en-US"/>
        </w:rPr>
        <w:t>i</w:t>
      </w:r>
      <w:r w:rsidR="006F4B46">
        <w:rPr>
          <w:noProof/>
          <w:sz w:val="20"/>
          <w:szCs w:val="20"/>
          <w:lang w:val="en-US"/>
        </w:rPr>
        <w:t>saggregated wells in New Mexico</w:t>
      </w:r>
      <w:r>
        <w:rPr>
          <w:noProof/>
          <w:sz w:val="20"/>
          <w:szCs w:val="20"/>
          <w:lang w:val="en-US"/>
        </w:rPr>
        <w:t>.</w:t>
      </w:r>
      <w:r w:rsidR="00AA0883">
        <w:rPr>
          <w:noProof/>
          <w:sz w:val="20"/>
          <w:szCs w:val="20"/>
          <w:lang w:val="en-US"/>
        </w:rPr>
        <w:t xml:space="preserve"> A combinatorial optimization technique is utilized to improve the estimation precision.</w:t>
      </w:r>
    </w:p>
    <w:p w:rsidR="002E671D" w:rsidRPr="005960A0" w:rsidRDefault="002E671D" w:rsidP="00394222">
      <w:pPr>
        <w:rPr>
          <w:noProof/>
          <w:sz w:val="20"/>
          <w:szCs w:val="20"/>
          <w:lang w:val="en-US"/>
        </w:rPr>
      </w:pPr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Results</w:t>
      </w:r>
    </w:p>
    <w:p w:rsidR="002E671D" w:rsidRDefault="00C75FE7" w:rsidP="00394222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The results of this study are the type curve parameters associated with </w:t>
      </w:r>
      <w:r w:rsidR="00AF30EB">
        <w:rPr>
          <w:noProof/>
          <w:sz w:val="20"/>
          <w:szCs w:val="20"/>
          <w:lang w:val="en-US"/>
        </w:rPr>
        <w:t xml:space="preserve">horizontal new wells recovering from 17 formations and vertical new wells recovering from 20 formations during the 2000-2015 period. </w:t>
      </w:r>
      <w:r w:rsidR="00112CB9">
        <w:rPr>
          <w:noProof/>
          <w:sz w:val="20"/>
          <w:szCs w:val="20"/>
          <w:lang w:val="en-US"/>
        </w:rPr>
        <w:t xml:space="preserve">For instance, the </w:t>
      </w:r>
      <w:r w:rsidR="00471A6F">
        <w:rPr>
          <w:noProof/>
          <w:sz w:val="20"/>
          <w:szCs w:val="20"/>
          <w:lang w:val="en-US"/>
        </w:rPr>
        <w:t xml:space="preserve">estimated </w:t>
      </w:r>
      <w:r w:rsidR="00112CB9">
        <w:rPr>
          <w:noProof/>
          <w:sz w:val="20"/>
          <w:szCs w:val="20"/>
          <w:lang w:val="en-US"/>
        </w:rPr>
        <w:t>a</w:t>
      </w:r>
      <w:r w:rsidR="00825476">
        <w:rPr>
          <w:noProof/>
          <w:sz w:val="20"/>
          <w:szCs w:val="20"/>
          <w:lang w:val="en-US"/>
        </w:rPr>
        <w:t>verage initial natural gas production</w:t>
      </w:r>
      <w:r w:rsidR="00471A6F">
        <w:rPr>
          <w:noProof/>
          <w:sz w:val="20"/>
          <w:szCs w:val="20"/>
          <w:lang w:val="en-US"/>
        </w:rPr>
        <w:t xml:space="preserve"> </w:t>
      </w:r>
      <w:r w:rsidR="00471A6F">
        <w:rPr>
          <w:noProof/>
          <w:sz w:val="20"/>
          <w:szCs w:val="20"/>
          <w:lang w:val="en-US"/>
        </w:rPr>
        <w:t xml:space="preserve">rate </w:t>
      </w:r>
      <w:r w:rsidR="00471A6F">
        <w:rPr>
          <w:noProof/>
          <w:sz w:val="20"/>
          <w:szCs w:val="20"/>
          <w:lang w:val="en-US"/>
        </w:rPr>
        <w:t xml:space="preserve">-- </w:t>
      </w:r>
      <m:oMath>
        <m:f>
          <m:fPr>
            <m:ctrlPr>
              <w:rPr>
                <w:rFonts w:ascii="Cambria Math" w:hAnsi="Cambria Math"/>
                <w:i/>
                <w:noProof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N</m:t>
            </m:r>
          </m:den>
        </m:f>
      </m:oMath>
      <w:r w:rsidR="00471A6F">
        <w:rPr>
          <w:noProof/>
          <w:sz w:val="20"/>
          <w:szCs w:val="20"/>
          <w:lang w:val="en-US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noProof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0</m:t>
            </m:r>
          </m:sub>
        </m:sSub>
      </m:oMath>
      <w:r w:rsidR="00471A6F">
        <w:rPr>
          <w:noProof/>
          <w:sz w:val="20"/>
          <w:szCs w:val="20"/>
          <w:lang w:val="en-US"/>
        </w:rPr>
        <w:t xml:space="preserve">is the aggregated initial production rate and </w:t>
      </w:r>
      <m:oMath>
        <m:r>
          <w:rPr>
            <w:rFonts w:ascii="Cambria Math" w:hAnsi="Cambria Math"/>
            <w:noProof/>
            <w:sz w:val="20"/>
            <w:szCs w:val="20"/>
            <w:lang w:val="en-US"/>
          </w:rPr>
          <m:t>N</m:t>
        </m:r>
      </m:oMath>
      <w:r w:rsidR="00471A6F">
        <w:rPr>
          <w:noProof/>
          <w:sz w:val="20"/>
          <w:szCs w:val="20"/>
          <w:lang w:val="en-US"/>
        </w:rPr>
        <w:t xml:space="preserve"> is the number of contributing wells-- </w:t>
      </w:r>
      <w:r w:rsidR="00825476">
        <w:rPr>
          <w:noProof/>
          <w:sz w:val="20"/>
          <w:szCs w:val="20"/>
          <w:lang w:val="en-US"/>
        </w:rPr>
        <w:t>for horizontal and vertical wells producing from Mesaverde formation is sho</w:t>
      </w:r>
      <w:r w:rsidR="00EE02B2">
        <w:rPr>
          <w:noProof/>
          <w:sz w:val="20"/>
          <w:szCs w:val="20"/>
          <w:lang w:val="en-US"/>
        </w:rPr>
        <w:t>wn in figure 1.</w:t>
      </w:r>
    </w:p>
    <w:p w:rsidR="00EE02B2" w:rsidRDefault="00EE02B2" w:rsidP="00394222">
      <w:pPr>
        <w:rPr>
          <w:noProof/>
          <w:sz w:val="20"/>
          <w:szCs w:val="20"/>
          <w:lang w:val="en-US"/>
        </w:rPr>
      </w:pPr>
    </w:p>
    <w:p w:rsidR="00EE02B2" w:rsidRDefault="00A7102C" w:rsidP="00262830">
      <w:pPr>
        <w:keepNext/>
        <w:jc w:val="center"/>
      </w:pPr>
      <w:r w:rsidRPr="00EE02B2">
        <w:rPr>
          <w:noProof/>
          <w:lang w:val="en-US" w:eastAsia="en-US"/>
        </w:rPr>
        <w:drawing>
          <wp:inline distT="0" distB="0" distL="0" distR="0">
            <wp:extent cx="5760085" cy="2589530"/>
            <wp:effectExtent l="0" t="0" r="0" b="127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02B2" w:rsidRPr="00262830" w:rsidRDefault="00EE02B2" w:rsidP="00262830">
      <w:pPr>
        <w:pStyle w:val="Caption"/>
        <w:jc w:val="center"/>
        <w:rPr>
          <w:b w:val="0"/>
          <w:noProof/>
          <w:lang w:val="en-US"/>
        </w:rPr>
      </w:pPr>
      <w:r w:rsidRPr="00262830">
        <w:rPr>
          <w:b w:val="0"/>
        </w:rPr>
        <w:t xml:space="preserve">Figure </w:t>
      </w:r>
      <w:r w:rsidRPr="00262830">
        <w:rPr>
          <w:b w:val="0"/>
        </w:rPr>
        <w:fldChar w:fldCharType="begin"/>
      </w:r>
      <w:r w:rsidRPr="00262830">
        <w:rPr>
          <w:b w:val="0"/>
        </w:rPr>
        <w:instrText xml:space="preserve"> SEQ Figure \* ARABIC </w:instrText>
      </w:r>
      <w:r w:rsidRPr="00262830">
        <w:rPr>
          <w:b w:val="0"/>
        </w:rPr>
        <w:fldChar w:fldCharType="separate"/>
      </w:r>
      <w:r w:rsidR="0026068B">
        <w:rPr>
          <w:b w:val="0"/>
          <w:noProof/>
        </w:rPr>
        <w:t>1</w:t>
      </w:r>
      <w:r w:rsidRPr="00262830">
        <w:rPr>
          <w:b w:val="0"/>
        </w:rPr>
        <w:fldChar w:fldCharType="end"/>
      </w:r>
      <w:r w:rsidRPr="00262830">
        <w:rPr>
          <w:b w:val="0"/>
        </w:rPr>
        <w:t xml:space="preserve">: </w:t>
      </w:r>
      <w:r w:rsidR="00471A6F">
        <w:rPr>
          <w:b w:val="0"/>
        </w:rPr>
        <w:t>Estimated</w:t>
      </w:r>
      <w:r w:rsidR="00471A6F" w:rsidRPr="00262830">
        <w:rPr>
          <w:b w:val="0"/>
        </w:rPr>
        <w:t xml:space="preserve"> </w:t>
      </w:r>
      <w:r w:rsidR="008D4C59" w:rsidRPr="00262830">
        <w:rPr>
          <w:b w:val="0"/>
        </w:rPr>
        <w:t xml:space="preserve">average initial </w:t>
      </w:r>
      <w:r w:rsidR="00262830" w:rsidRPr="00262830">
        <w:rPr>
          <w:b w:val="0"/>
        </w:rPr>
        <w:t>natural gas production from horizontal and vertical wells in Mesa</w:t>
      </w:r>
      <w:r w:rsidR="00471A6F">
        <w:rPr>
          <w:b w:val="0"/>
        </w:rPr>
        <w:t>verde</w:t>
      </w:r>
      <w:r w:rsidR="00262830" w:rsidRPr="00262830">
        <w:rPr>
          <w:b w:val="0"/>
        </w:rPr>
        <w:t xml:space="preserve"> formation</w:t>
      </w:r>
    </w:p>
    <w:p w:rsidR="00262830" w:rsidRPr="008F65BB" w:rsidRDefault="00262830" w:rsidP="00394222">
      <w:pPr>
        <w:pStyle w:val="Heading4"/>
        <w:rPr>
          <w:bCs w:val="0"/>
          <w:noProof/>
          <w:sz w:val="20"/>
          <w:szCs w:val="20"/>
          <w:lang w:val="en-US"/>
        </w:rPr>
      </w:pPr>
      <w:r w:rsidRPr="008F65BB">
        <w:rPr>
          <w:bCs w:val="0"/>
          <w:noProof/>
          <w:sz w:val="20"/>
          <w:szCs w:val="20"/>
          <w:lang w:val="en-US"/>
        </w:rPr>
        <w:t>It is noteworthy that the average</w:t>
      </w:r>
      <w:r w:rsidR="00471A6F">
        <w:rPr>
          <w:bCs w:val="0"/>
          <w:noProof/>
          <w:sz w:val="20"/>
          <w:szCs w:val="20"/>
          <w:lang w:val="en-US"/>
        </w:rPr>
        <w:t xml:space="preserve"> annual</w:t>
      </w:r>
      <w:r w:rsidRPr="008F65BB">
        <w:rPr>
          <w:bCs w:val="0"/>
          <w:noProof/>
          <w:sz w:val="20"/>
          <w:szCs w:val="20"/>
          <w:lang w:val="en-US"/>
        </w:rPr>
        <w:t xml:space="preserve"> number of horizontal and ver</w:t>
      </w:r>
      <w:r w:rsidR="000F5833" w:rsidRPr="008F65BB">
        <w:rPr>
          <w:bCs w:val="0"/>
          <w:noProof/>
          <w:sz w:val="20"/>
          <w:szCs w:val="20"/>
          <w:lang w:val="en-US"/>
        </w:rPr>
        <w:t>t</w:t>
      </w:r>
      <w:r w:rsidRPr="008F65BB">
        <w:rPr>
          <w:bCs w:val="0"/>
          <w:noProof/>
          <w:sz w:val="20"/>
          <w:szCs w:val="20"/>
          <w:lang w:val="en-US"/>
        </w:rPr>
        <w:t>ical</w:t>
      </w:r>
      <w:r w:rsidR="00471A6F">
        <w:rPr>
          <w:bCs w:val="0"/>
          <w:noProof/>
          <w:sz w:val="20"/>
          <w:szCs w:val="20"/>
          <w:lang w:val="en-US"/>
        </w:rPr>
        <w:t xml:space="preserve"> wells producing from the Mesav</w:t>
      </w:r>
      <w:r w:rsidRPr="008F65BB">
        <w:rPr>
          <w:bCs w:val="0"/>
          <w:noProof/>
          <w:sz w:val="20"/>
          <w:szCs w:val="20"/>
          <w:lang w:val="en-US"/>
        </w:rPr>
        <w:t>erde formation during this period was 47 and 147, respectively.</w:t>
      </w:r>
      <w:r w:rsidR="00C91AAC" w:rsidRPr="008F65BB">
        <w:rPr>
          <w:bCs w:val="0"/>
          <w:noProof/>
          <w:sz w:val="20"/>
          <w:szCs w:val="20"/>
          <w:lang w:val="en-US"/>
        </w:rPr>
        <w:t xml:space="preserve"> Another comparison is made between average initial natural gas production from Mesaverde and Delaware formations in figure 2.</w:t>
      </w:r>
    </w:p>
    <w:p w:rsidR="005067EC" w:rsidRDefault="005067EC" w:rsidP="005067EC">
      <w:pPr>
        <w:rPr>
          <w:lang w:val="en-US"/>
        </w:rPr>
      </w:pPr>
    </w:p>
    <w:p w:rsidR="005067EC" w:rsidRPr="005067EC" w:rsidRDefault="005067EC" w:rsidP="005067EC">
      <w:pPr>
        <w:keepNext/>
        <w:jc w:val="center"/>
      </w:pPr>
      <w:r w:rsidRPr="005067EC">
        <w:rPr>
          <w:noProof/>
          <w:lang w:val="en-US" w:eastAsia="en-US"/>
        </w:rPr>
        <w:lastRenderedPageBreak/>
        <w:drawing>
          <wp:inline distT="0" distB="0" distL="0" distR="0" wp14:anchorId="03A7767C" wp14:editId="755BFFF3">
            <wp:extent cx="5760720" cy="2586355"/>
            <wp:effectExtent l="0" t="0" r="0" b="44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67EC" w:rsidRDefault="005067EC" w:rsidP="005067EC">
      <w:pPr>
        <w:pStyle w:val="Caption"/>
        <w:jc w:val="center"/>
        <w:rPr>
          <w:b w:val="0"/>
        </w:rPr>
      </w:pPr>
      <w:r w:rsidRPr="005067EC">
        <w:rPr>
          <w:b w:val="0"/>
        </w:rPr>
        <w:t xml:space="preserve">Figure </w:t>
      </w:r>
      <w:r w:rsidRPr="005067EC">
        <w:rPr>
          <w:b w:val="0"/>
        </w:rPr>
        <w:fldChar w:fldCharType="begin"/>
      </w:r>
      <w:r w:rsidRPr="005067EC">
        <w:rPr>
          <w:b w:val="0"/>
        </w:rPr>
        <w:instrText xml:space="preserve"> SEQ Figure \* ARABIC </w:instrText>
      </w:r>
      <w:r w:rsidRPr="005067EC">
        <w:rPr>
          <w:b w:val="0"/>
        </w:rPr>
        <w:fldChar w:fldCharType="separate"/>
      </w:r>
      <w:r w:rsidR="0026068B">
        <w:rPr>
          <w:b w:val="0"/>
          <w:noProof/>
        </w:rPr>
        <w:t>2</w:t>
      </w:r>
      <w:r w:rsidRPr="005067EC">
        <w:rPr>
          <w:b w:val="0"/>
        </w:rPr>
        <w:fldChar w:fldCharType="end"/>
      </w:r>
      <w:r w:rsidRPr="005067EC">
        <w:rPr>
          <w:b w:val="0"/>
        </w:rPr>
        <w:t xml:space="preserve">: </w:t>
      </w:r>
      <w:r w:rsidR="00471A6F">
        <w:rPr>
          <w:b w:val="0"/>
        </w:rPr>
        <w:t>C</w:t>
      </w:r>
      <w:r w:rsidRPr="005067EC">
        <w:rPr>
          <w:b w:val="0"/>
        </w:rPr>
        <w:t>omparison between</w:t>
      </w:r>
      <w:r w:rsidR="00471A6F">
        <w:rPr>
          <w:b w:val="0"/>
        </w:rPr>
        <w:t xml:space="preserve"> e</w:t>
      </w:r>
      <w:r w:rsidR="00471A6F">
        <w:rPr>
          <w:b w:val="0"/>
        </w:rPr>
        <w:t>stimated</w:t>
      </w:r>
      <w:r w:rsidRPr="005067EC">
        <w:rPr>
          <w:b w:val="0"/>
        </w:rPr>
        <w:t xml:space="preserve"> average initial natural gas production from Mesaverde and Delaware formations</w:t>
      </w:r>
    </w:p>
    <w:p w:rsidR="000215D1" w:rsidRDefault="000215D1" w:rsidP="000215D1"/>
    <w:p w:rsidR="000215D1" w:rsidRPr="008F65BB" w:rsidRDefault="000215D1" w:rsidP="008F65BB">
      <w:pPr>
        <w:pStyle w:val="Heading4"/>
        <w:rPr>
          <w:bCs w:val="0"/>
          <w:noProof/>
          <w:sz w:val="20"/>
          <w:szCs w:val="20"/>
          <w:lang w:val="en-US"/>
        </w:rPr>
      </w:pPr>
      <w:r w:rsidRPr="008F65BB">
        <w:rPr>
          <w:bCs w:val="0"/>
          <w:noProof/>
          <w:sz w:val="20"/>
          <w:szCs w:val="20"/>
          <w:lang w:val="en-US"/>
        </w:rPr>
        <w:t xml:space="preserve">Similarly, </w:t>
      </w:r>
      <w:r w:rsidR="0026068B" w:rsidRPr="008F65BB">
        <w:rPr>
          <w:bCs w:val="0"/>
          <w:noProof/>
          <w:sz w:val="20"/>
          <w:szCs w:val="20"/>
          <w:lang w:val="en-US"/>
        </w:rPr>
        <w:t>initial oil production is compared between horizontal and vertical wells producing from Bone Spring formation, Permian basin</w:t>
      </w:r>
      <w:r w:rsidR="00E02D4E">
        <w:rPr>
          <w:bCs w:val="0"/>
          <w:noProof/>
          <w:sz w:val="20"/>
          <w:szCs w:val="20"/>
          <w:lang w:val="en-US"/>
        </w:rPr>
        <w:t>,</w:t>
      </w:r>
      <w:bookmarkStart w:id="2" w:name="_GoBack"/>
      <w:bookmarkEnd w:id="2"/>
      <w:r w:rsidR="0026068B" w:rsidRPr="008F65BB">
        <w:rPr>
          <w:bCs w:val="0"/>
          <w:noProof/>
          <w:sz w:val="20"/>
          <w:szCs w:val="20"/>
          <w:lang w:val="en-US"/>
        </w:rPr>
        <w:t xml:space="preserve"> in figure 3.</w:t>
      </w:r>
    </w:p>
    <w:p w:rsidR="0026068B" w:rsidRDefault="000215D1" w:rsidP="0026068B">
      <w:pPr>
        <w:keepNext/>
      </w:pPr>
      <w:r>
        <w:rPr>
          <w:noProof/>
          <w:lang w:val="en-US" w:eastAsia="en-US"/>
        </w:rPr>
        <w:drawing>
          <wp:inline distT="0" distB="0" distL="0" distR="0" wp14:anchorId="1BF311F8" wp14:editId="6D45C669">
            <wp:extent cx="5760720" cy="250444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15D1" w:rsidRPr="0026068B" w:rsidRDefault="0026068B" w:rsidP="0026068B">
      <w:pPr>
        <w:pStyle w:val="Caption"/>
        <w:jc w:val="center"/>
        <w:rPr>
          <w:b w:val="0"/>
          <w:lang w:val="en-US"/>
        </w:rPr>
      </w:pPr>
      <w:r w:rsidRPr="0026068B">
        <w:rPr>
          <w:b w:val="0"/>
        </w:rPr>
        <w:t xml:space="preserve">Figure </w:t>
      </w:r>
      <w:r w:rsidRPr="0026068B">
        <w:rPr>
          <w:b w:val="0"/>
        </w:rPr>
        <w:fldChar w:fldCharType="begin"/>
      </w:r>
      <w:r w:rsidRPr="0026068B">
        <w:rPr>
          <w:b w:val="0"/>
        </w:rPr>
        <w:instrText xml:space="preserve"> SEQ Figure \* ARABIC </w:instrText>
      </w:r>
      <w:r w:rsidRPr="0026068B">
        <w:rPr>
          <w:b w:val="0"/>
        </w:rPr>
        <w:fldChar w:fldCharType="separate"/>
      </w:r>
      <w:r w:rsidRPr="0026068B">
        <w:rPr>
          <w:b w:val="0"/>
          <w:noProof/>
        </w:rPr>
        <w:t>3</w:t>
      </w:r>
      <w:r w:rsidRPr="0026068B">
        <w:rPr>
          <w:b w:val="0"/>
        </w:rPr>
        <w:fldChar w:fldCharType="end"/>
      </w:r>
      <w:r w:rsidRPr="0026068B">
        <w:rPr>
          <w:b w:val="0"/>
        </w:rPr>
        <w:t xml:space="preserve">: </w:t>
      </w:r>
      <w:r w:rsidR="00471A6F">
        <w:rPr>
          <w:b w:val="0"/>
        </w:rPr>
        <w:t>Estimated a</w:t>
      </w:r>
      <w:r w:rsidRPr="0026068B">
        <w:rPr>
          <w:b w:val="0"/>
        </w:rPr>
        <w:t>verage in</w:t>
      </w:r>
      <w:r w:rsidR="00471A6F">
        <w:rPr>
          <w:b w:val="0"/>
        </w:rPr>
        <w:t>i</w:t>
      </w:r>
      <w:r w:rsidRPr="0026068B">
        <w:rPr>
          <w:b w:val="0"/>
        </w:rPr>
        <w:t>tial oil production by horizontal and vertical wells producing from Bone Spring formation</w:t>
      </w:r>
    </w:p>
    <w:p w:rsidR="00394222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Conclusions</w:t>
      </w:r>
    </w:p>
    <w:p w:rsidR="008F65BB" w:rsidRPr="008F65BB" w:rsidRDefault="00C90E67" w:rsidP="008F65BB">
      <w:pPr>
        <w:pStyle w:val="Heading4"/>
        <w:rPr>
          <w:bCs w:val="0"/>
          <w:noProof/>
          <w:sz w:val="20"/>
          <w:szCs w:val="20"/>
          <w:lang w:val="en-US"/>
        </w:rPr>
      </w:pPr>
      <w:r w:rsidRPr="008F65BB">
        <w:rPr>
          <w:bCs w:val="0"/>
          <w:noProof/>
          <w:sz w:val="20"/>
          <w:szCs w:val="20"/>
          <w:lang w:val="en-US"/>
        </w:rPr>
        <w:t xml:space="preserve">This study expands on </w:t>
      </w:r>
      <w:r w:rsidR="00471A6F">
        <w:rPr>
          <w:bCs w:val="0"/>
          <w:noProof/>
          <w:sz w:val="20"/>
          <w:szCs w:val="20"/>
          <w:lang w:val="en-US"/>
        </w:rPr>
        <w:t>t</w:t>
      </w:r>
      <w:r w:rsidRPr="008F65BB">
        <w:rPr>
          <w:bCs w:val="0"/>
          <w:noProof/>
          <w:sz w:val="20"/>
          <w:szCs w:val="20"/>
          <w:lang w:val="en-US"/>
        </w:rPr>
        <w:t>he Oil and Gas Supply Module of the National Energy Modeling System</w:t>
      </w:r>
      <w:r w:rsidR="00471A6F">
        <w:rPr>
          <w:bCs w:val="0"/>
          <w:noProof/>
          <w:sz w:val="20"/>
          <w:szCs w:val="20"/>
          <w:lang w:val="en-US"/>
        </w:rPr>
        <w:t xml:space="preserve"> </w:t>
      </w:r>
      <w:r w:rsidR="00471A6F">
        <w:rPr>
          <w:noProof/>
          <w:sz w:val="20"/>
          <w:szCs w:val="20"/>
          <w:lang w:val="en-US"/>
        </w:rPr>
        <w:t>(U.S. EIA. 2014)</w:t>
      </w:r>
      <w:r w:rsidRPr="008F65BB">
        <w:rPr>
          <w:bCs w:val="0"/>
          <w:noProof/>
          <w:sz w:val="20"/>
          <w:szCs w:val="20"/>
          <w:lang w:val="en-US"/>
        </w:rPr>
        <w:t>,</w:t>
      </w:r>
      <w:r w:rsidRPr="008F65BB">
        <w:rPr>
          <w:bCs w:val="0"/>
          <w:noProof/>
          <w:sz w:val="20"/>
          <w:szCs w:val="20"/>
          <w:lang w:val="en-US"/>
        </w:rPr>
        <w:t xml:space="preserve"> and disaggregates production at two additional lev</w:t>
      </w:r>
      <w:r w:rsidR="00471A6F">
        <w:rPr>
          <w:bCs w:val="0"/>
          <w:noProof/>
          <w:sz w:val="20"/>
          <w:szCs w:val="20"/>
          <w:lang w:val="en-US"/>
        </w:rPr>
        <w:t>el</w:t>
      </w:r>
      <w:r w:rsidRPr="008F65BB">
        <w:rPr>
          <w:bCs w:val="0"/>
          <w:noProof/>
          <w:sz w:val="20"/>
          <w:szCs w:val="20"/>
          <w:lang w:val="en-US"/>
        </w:rPr>
        <w:t>s: well trajectory and year of completion.</w:t>
      </w:r>
      <w:r w:rsidR="000A0221" w:rsidRPr="008F65BB">
        <w:rPr>
          <w:bCs w:val="0"/>
          <w:noProof/>
          <w:sz w:val="20"/>
          <w:szCs w:val="20"/>
          <w:lang w:val="en-US"/>
        </w:rPr>
        <w:t xml:space="preserve"> These additional disaggregation could improve estimations of the oil and natural gas supply. Nonlinear Least Squares method is used for the estimation o</w:t>
      </w:r>
      <w:r w:rsidR="008F65BB" w:rsidRPr="008F65BB">
        <w:rPr>
          <w:bCs w:val="0"/>
          <w:noProof/>
          <w:sz w:val="20"/>
          <w:szCs w:val="20"/>
          <w:lang w:val="en-US"/>
        </w:rPr>
        <w:t xml:space="preserve">f the type curve parameters. </w:t>
      </w:r>
      <w:r w:rsidR="00471A6F">
        <w:rPr>
          <w:bCs w:val="0"/>
          <w:noProof/>
          <w:sz w:val="20"/>
          <w:szCs w:val="20"/>
          <w:lang w:val="en-US"/>
        </w:rPr>
        <w:t>As a case study, s</w:t>
      </w:r>
      <w:r w:rsidR="008F65BB" w:rsidRPr="008F65BB">
        <w:rPr>
          <w:bCs w:val="0"/>
          <w:noProof/>
          <w:sz w:val="20"/>
          <w:szCs w:val="20"/>
          <w:lang w:val="en-US"/>
        </w:rPr>
        <w:t xml:space="preserve">upply of the oil and natural gas </w:t>
      </w:r>
      <w:r w:rsidR="008F65BB">
        <w:rPr>
          <w:bCs w:val="0"/>
          <w:noProof/>
          <w:sz w:val="20"/>
          <w:szCs w:val="20"/>
          <w:lang w:val="en-US"/>
        </w:rPr>
        <w:t>is estimated for 22 formations in New Mexican Permian and San Juan basin</w:t>
      </w:r>
      <w:r w:rsidR="00471A6F">
        <w:rPr>
          <w:bCs w:val="0"/>
          <w:noProof/>
          <w:sz w:val="20"/>
          <w:szCs w:val="20"/>
          <w:lang w:val="en-US"/>
        </w:rPr>
        <w:t>s</w:t>
      </w:r>
      <w:r w:rsidR="008F65BB">
        <w:rPr>
          <w:bCs w:val="0"/>
          <w:noProof/>
          <w:sz w:val="20"/>
          <w:szCs w:val="20"/>
          <w:lang w:val="en-US"/>
        </w:rPr>
        <w:t>, and the results are compared with the actual supply</w:t>
      </w:r>
      <w:r w:rsidR="00471A6F">
        <w:rPr>
          <w:bCs w:val="0"/>
          <w:noProof/>
          <w:sz w:val="20"/>
          <w:szCs w:val="20"/>
          <w:lang w:val="en-US"/>
        </w:rPr>
        <w:t xml:space="preserve"> data</w:t>
      </w:r>
      <w:r w:rsidR="008F65BB">
        <w:rPr>
          <w:bCs w:val="0"/>
          <w:noProof/>
          <w:sz w:val="20"/>
          <w:szCs w:val="20"/>
          <w:lang w:val="en-US"/>
        </w:rPr>
        <w:t>. Future work includes adding drilling and completion costs and measuring the drilling profitability for vertical and horizontal wells over time and basins.</w:t>
      </w:r>
    </w:p>
    <w:p w:rsidR="00471A6F" w:rsidRDefault="00471A6F" w:rsidP="00471A6F">
      <w:pPr>
        <w:pStyle w:val="Heading4"/>
        <w:rPr>
          <w:b/>
          <w:noProof/>
          <w:lang w:val="en-US"/>
        </w:rPr>
      </w:pPr>
      <w:r>
        <w:rPr>
          <w:b/>
          <w:noProof/>
          <w:lang w:val="en-US"/>
        </w:rPr>
        <w:t>References</w:t>
      </w:r>
    </w:p>
    <w:p w:rsidR="00471A6F" w:rsidRPr="00471A6F" w:rsidRDefault="00471A6F" w:rsidP="00471A6F">
      <w:pPr>
        <w:pStyle w:val="Heading4"/>
        <w:rPr>
          <w:bCs w:val="0"/>
          <w:noProof/>
          <w:sz w:val="20"/>
          <w:szCs w:val="20"/>
          <w:lang w:val="en-US"/>
        </w:rPr>
      </w:pPr>
      <w:r w:rsidRPr="00471A6F">
        <w:rPr>
          <w:bCs w:val="0"/>
          <w:noProof/>
          <w:sz w:val="20"/>
          <w:szCs w:val="20"/>
          <w:lang w:val="en-US"/>
        </w:rPr>
        <w:t xml:space="preserve">U.S. EIA. 2014. Oil and Gas Supply Module of the National Energy Modeling System: Model Documentation 2014. http://www.eia.gov/forecasts/aeo/nems/documentation/ogsm/pdf/m063(2014).pdf [accessed </w:t>
      </w:r>
      <w:r>
        <w:rPr>
          <w:bCs w:val="0"/>
          <w:noProof/>
          <w:sz w:val="20"/>
          <w:szCs w:val="20"/>
          <w:lang w:val="en-US"/>
        </w:rPr>
        <w:t>15</w:t>
      </w:r>
      <w:r w:rsidRPr="00471A6F">
        <w:rPr>
          <w:bCs w:val="0"/>
          <w:noProof/>
          <w:sz w:val="20"/>
          <w:szCs w:val="20"/>
          <w:lang w:val="en-US"/>
        </w:rPr>
        <w:t xml:space="preserve"> </w:t>
      </w:r>
      <w:r>
        <w:rPr>
          <w:bCs w:val="0"/>
          <w:noProof/>
          <w:sz w:val="20"/>
          <w:szCs w:val="20"/>
          <w:lang w:val="en-US"/>
        </w:rPr>
        <w:t>March</w:t>
      </w:r>
      <w:r w:rsidRPr="00471A6F">
        <w:rPr>
          <w:bCs w:val="0"/>
          <w:noProof/>
          <w:sz w:val="20"/>
          <w:szCs w:val="20"/>
          <w:lang w:val="en-US"/>
        </w:rPr>
        <w:t xml:space="preserve"> 201</w:t>
      </w:r>
      <w:r>
        <w:rPr>
          <w:bCs w:val="0"/>
          <w:noProof/>
          <w:sz w:val="20"/>
          <w:szCs w:val="20"/>
          <w:lang w:val="en-US"/>
        </w:rPr>
        <w:t>8</w:t>
      </w:r>
      <w:r w:rsidRPr="00471A6F">
        <w:rPr>
          <w:bCs w:val="0"/>
          <w:noProof/>
          <w:sz w:val="20"/>
          <w:szCs w:val="20"/>
          <w:lang w:val="en-US"/>
        </w:rPr>
        <w:t>].</w:t>
      </w:r>
    </w:p>
    <w:sectPr w:rsidR="00471A6F" w:rsidRPr="00471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4C2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00"/>
    <w:rsid w:val="00014291"/>
    <w:rsid w:val="000215D1"/>
    <w:rsid w:val="000A0221"/>
    <w:rsid w:val="000D632B"/>
    <w:rsid w:val="000E73EF"/>
    <w:rsid w:val="000F5833"/>
    <w:rsid w:val="00112CB9"/>
    <w:rsid w:val="001276F1"/>
    <w:rsid w:val="001821CC"/>
    <w:rsid w:val="001A5952"/>
    <w:rsid w:val="001B00E6"/>
    <w:rsid w:val="00211F29"/>
    <w:rsid w:val="0026068B"/>
    <w:rsid w:val="002612CA"/>
    <w:rsid w:val="00262830"/>
    <w:rsid w:val="00277B1C"/>
    <w:rsid w:val="002A3AC3"/>
    <w:rsid w:val="002E0CB5"/>
    <w:rsid w:val="002E4ABE"/>
    <w:rsid w:val="002E671D"/>
    <w:rsid w:val="002F243C"/>
    <w:rsid w:val="0032340C"/>
    <w:rsid w:val="00374BC4"/>
    <w:rsid w:val="00394222"/>
    <w:rsid w:val="003B35D0"/>
    <w:rsid w:val="003C5B7B"/>
    <w:rsid w:val="003F0274"/>
    <w:rsid w:val="003F4A00"/>
    <w:rsid w:val="0041200C"/>
    <w:rsid w:val="00471A6F"/>
    <w:rsid w:val="0049483C"/>
    <w:rsid w:val="004A341F"/>
    <w:rsid w:val="004D56C1"/>
    <w:rsid w:val="004F16D5"/>
    <w:rsid w:val="005067EC"/>
    <w:rsid w:val="005253E2"/>
    <w:rsid w:val="0052747C"/>
    <w:rsid w:val="00563ABE"/>
    <w:rsid w:val="00595F9C"/>
    <w:rsid w:val="005960A0"/>
    <w:rsid w:val="005E0D04"/>
    <w:rsid w:val="0060549D"/>
    <w:rsid w:val="006247DC"/>
    <w:rsid w:val="00651751"/>
    <w:rsid w:val="00664713"/>
    <w:rsid w:val="006B5B07"/>
    <w:rsid w:val="006C4092"/>
    <w:rsid w:val="006F4B46"/>
    <w:rsid w:val="00711E32"/>
    <w:rsid w:val="00713450"/>
    <w:rsid w:val="00760974"/>
    <w:rsid w:val="00825476"/>
    <w:rsid w:val="00841D99"/>
    <w:rsid w:val="00844D55"/>
    <w:rsid w:val="008665D0"/>
    <w:rsid w:val="00873A7D"/>
    <w:rsid w:val="008967D9"/>
    <w:rsid w:val="008D4C59"/>
    <w:rsid w:val="008F65BB"/>
    <w:rsid w:val="009830BB"/>
    <w:rsid w:val="0099027E"/>
    <w:rsid w:val="009D0FF6"/>
    <w:rsid w:val="00A166DA"/>
    <w:rsid w:val="00A31A02"/>
    <w:rsid w:val="00A406F5"/>
    <w:rsid w:val="00A7102C"/>
    <w:rsid w:val="00A73777"/>
    <w:rsid w:val="00AA0883"/>
    <w:rsid w:val="00AC3B60"/>
    <w:rsid w:val="00AC41A2"/>
    <w:rsid w:val="00AC52F8"/>
    <w:rsid w:val="00AE62B8"/>
    <w:rsid w:val="00AF30EB"/>
    <w:rsid w:val="00B10E34"/>
    <w:rsid w:val="00B14D25"/>
    <w:rsid w:val="00B70C02"/>
    <w:rsid w:val="00B94CA2"/>
    <w:rsid w:val="00C518CB"/>
    <w:rsid w:val="00C75FE7"/>
    <w:rsid w:val="00C90E67"/>
    <w:rsid w:val="00C91AAC"/>
    <w:rsid w:val="00D24E2E"/>
    <w:rsid w:val="00E02D4E"/>
    <w:rsid w:val="00EA199D"/>
    <w:rsid w:val="00EE02B2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E2B58"/>
  <w15:chartTrackingRefBased/>
  <w15:docId w15:val="{3C4258DE-F27F-4B8B-B7DE-0C7492E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94222"/>
    <w:pPr>
      <w:keepNext/>
      <w:spacing w:after="120"/>
      <w:outlineLvl w:val="0"/>
    </w:pPr>
    <w:rPr>
      <w:b/>
      <w:sz w:val="28"/>
      <w:szCs w:val="28"/>
    </w:rPr>
  </w:style>
  <w:style w:type="paragraph" w:styleId="Heading3">
    <w:name w:val="heading 3"/>
    <w:aliases w:val="Überschrift 3 Char"/>
    <w:basedOn w:val="Normal"/>
    <w:next w:val="Normal"/>
    <w:link w:val="Heading3Char"/>
    <w:autoRedefine/>
    <w:qFormat/>
    <w:rsid w:val="006B5B07"/>
    <w:pPr>
      <w:keepNext/>
      <w:spacing w:before="180" w:after="240"/>
      <w:jc w:val="center"/>
      <w:outlineLvl w:val="2"/>
    </w:pPr>
    <w:rPr>
      <w:noProof/>
      <w:sz w:val="20"/>
      <w:szCs w:val="20"/>
      <w:lang w:val="en-US"/>
    </w:rPr>
  </w:style>
  <w:style w:type="paragraph" w:styleId="Heading4">
    <w:name w:val="heading 4"/>
    <w:aliases w:val="Überschrift 4 Char"/>
    <w:basedOn w:val="Normal"/>
    <w:next w:val="Normal"/>
    <w:link w:val="Heading4Char"/>
    <w:autoRedefine/>
    <w:qFormat/>
    <w:rsid w:val="00394222"/>
    <w:pPr>
      <w:keepNext/>
      <w:spacing w:before="240" w:after="60" w:line="240" w:lineRule="exact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94222"/>
    <w:rPr>
      <w:b/>
      <w:sz w:val="28"/>
      <w:szCs w:val="28"/>
      <w:lang w:val="de-DE" w:eastAsia="de-DE" w:bidi="ar-SA"/>
    </w:rPr>
  </w:style>
  <w:style w:type="character" w:customStyle="1" w:styleId="Heading3Char">
    <w:name w:val="Heading 3 Char"/>
    <w:aliases w:val="Überschrift 3 Char Char"/>
    <w:link w:val="Heading3"/>
    <w:rsid w:val="006B5B07"/>
    <w:rPr>
      <w:noProof/>
      <w:lang w:eastAsia="de-DE"/>
    </w:rPr>
  </w:style>
  <w:style w:type="paragraph" w:customStyle="1" w:styleId="1Grobuchstaben">
    <w:name w:val="Ü 1 + Großbuchstaben"/>
    <w:basedOn w:val="Heading1"/>
    <w:link w:val="1GrobuchstabenChar"/>
    <w:rsid w:val="00394222"/>
    <w:rPr>
      <w:bCs/>
      <w:caps/>
    </w:rPr>
  </w:style>
  <w:style w:type="character" w:customStyle="1" w:styleId="1GrobuchstabenChar">
    <w:name w:val="Ü 1 + Großbuchstaben Char"/>
    <w:link w:val="1Grobuchstaben"/>
    <w:rsid w:val="00394222"/>
    <w:rPr>
      <w:b/>
      <w:bCs/>
      <w:caps/>
      <w:sz w:val="28"/>
      <w:szCs w:val="28"/>
      <w:lang w:val="de-DE" w:eastAsia="de-DE" w:bidi="ar-SA"/>
    </w:rPr>
  </w:style>
  <w:style w:type="paragraph" w:customStyle="1" w:styleId="1Kursiv">
    <w:name w:val="Ü 1 + Kursiv"/>
    <w:basedOn w:val="Heading1"/>
    <w:link w:val="1KursivChar"/>
    <w:rsid w:val="00394222"/>
    <w:rPr>
      <w:bCs/>
      <w:i/>
      <w:iCs/>
    </w:rPr>
  </w:style>
  <w:style w:type="character" w:customStyle="1" w:styleId="1KursivChar">
    <w:name w:val="Ü 1 + Kursiv Char"/>
    <w:link w:val="1Kursiv"/>
    <w:rsid w:val="00394222"/>
    <w:rPr>
      <w:b/>
      <w:bCs/>
      <w:i/>
      <w:iCs/>
      <w:sz w:val="28"/>
      <w:szCs w:val="28"/>
      <w:lang w:val="de-DE" w:eastAsia="de-DE" w:bidi="ar-SA"/>
    </w:rPr>
  </w:style>
  <w:style w:type="character" w:customStyle="1" w:styleId="Heading4Char">
    <w:name w:val="Heading 4 Char"/>
    <w:aliases w:val="Überschrift 4 Char Char"/>
    <w:link w:val="Heading4"/>
    <w:rsid w:val="00394222"/>
    <w:rPr>
      <w:bCs/>
      <w:sz w:val="24"/>
      <w:szCs w:val="28"/>
      <w:lang w:val="de-DE" w:eastAsia="de-DE" w:bidi="ar-SA"/>
    </w:rPr>
  </w:style>
  <w:style w:type="paragraph" w:styleId="BalloonText">
    <w:name w:val="Balloon Text"/>
    <w:basedOn w:val="Normal"/>
    <w:semiHidden/>
    <w:rsid w:val="00394222"/>
    <w:rPr>
      <w:rFonts w:ascii="Tahoma" w:hAnsi="Tahoma" w:cs="Tahoma"/>
      <w:sz w:val="16"/>
      <w:szCs w:val="16"/>
    </w:rPr>
  </w:style>
  <w:style w:type="character" w:styleId="Hyperlink">
    <w:name w:val="Hyperlink"/>
    <w:rsid w:val="005960A0"/>
    <w:rPr>
      <w:color w:val="0000FF"/>
      <w:u w:val="single"/>
    </w:rPr>
  </w:style>
  <w:style w:type="character" w:styleId="CommentReference">
    <w:name w:val="annotation reference"/>
    <w:rsid w:val="006B5B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6B5B07"/>
  </w:style>
  <w:style w:type="character" w:customStyle="1" w:styleId="CommentTextChar">
    <w:name w:val="Comment Text Char"/>
    <w:link w:val="CommentText"/>
    <w:rsid w:val="006B5B07"/>
    <w:rPr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B5B0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B5B07"/>
    <w:rPr>
      <w:b/>
      <w:bCs/>
      <w:sz w:val="24"/>
      <w:szCs w:val="24"/>
      <w:lang w:val="de-DE" w:eastAsia="de-DE"/>
    </w:rPr>
  </w:style>
  <w:style w:type="paragraph" w:styleId="ColorfulShading-Accent1">
    <w:name w:val="Colorful Shading Accent 1"/>
    <w:hidden/>
    <w:uiPriority w:val="71"/>
    <w:unhideWhenUsed/>
    <w:rsid w:val="006B5B07"/>
    <w:rPr>
      <w:sz w:val="24"/>
      <w:szCs w:val="24"/>
      <w:lang w:val="de-DE" w:eastAsia="de-DE"/>
    </w:rPr>
  </w:style>
  <w:style w:type="paragraph" w:styleId="Caption">
    <w:name w:val="caption"/>
    <w:basedOn w:val="Normal"/>
    <w:next w:val="Normal"/>
    <w:unhideWhenUsed/>
    <w:qFormat/>
    <w:rsid w:val="00EE02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1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mira\Downloads\Summa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[Summary.xlsx]Sheet2!$A$11</c:f>
              <c:strCache>
                <c:ptCount val="1"/>
                <c:pt idx="0">
                  <c:v>Horizontal_MESAVERDE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[Summary.xlsx]Sheet2!$B$1:$P$1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[Summary.xlsx]Sheet2!$B$11:$P$11</c:f>
              <c:numCache>
                <c:formatCode>General</c:formatCode>
                <c:ptCount val="15"/>
                <c:pt idx="0">
                  <c:v>17600.333333333332</c:v>
                </c:pt>
                <c:pt idx="1">
                  <c:v>17785.90625</c:v>
                </c:pt>
                <c:pt idx="2">
                  <c:v>14276.611111111111</c:v>
                </c:pt>
                <c:pt idx="3">
                  <c:v>14587.16</c:v>
                </c:pt>
                <c:pt idx="4">
                  <c:v>11588.578947368422</c:v>
                </c:pt>
                <c:pt idx="5">
                  <c:v>8098.5</c:v>
                </c:pt>
                <c:pt idx="6">
                  <c:v>7110.9649122807014</c:v>
                </c:pt>
                <c:pt idx="7">
                  <c:v>8891.269841269841</c:v>
                </c:pt>
                <c:pt idx="8">
                  <c:v>7810.136842105263</c:v>
                </c:pt>
                <c:pt idx="9">
                  <c:v>11586.296296296296</c:v>
                </c:pt>
                <c:pt idx="10">
                  <c:v>8736.7833333333328</c:v>
                </c:pt>
                <c:pt idx="11">
                  <c:v>6585.7358490566039</c:v>
                </c:pt>
                <c:pt idx="12">
                  <c:v>12795.444444444445</c:v>
                </c:pt>
                <c:pt idx="13">
                  <c:v>20809.666666666668</c:v>
                </c:pt>
                <c:pt idx="14">
                  <c:v>11995.333333333334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148-4D6D-830D-69AF39285C86}"/>
            </c:ext>
          </c:extLst>
        </c:ser>
        <c:ser>
          <c:idx val="1"/>
          <c:order val="1"/>
          <c:tx>
            <c:strRef>
              <c:f>[Summary.xlsx]Sheet2!$A$30</c:f>
              <c:strCache>
                <c:ptCount val="1"/>
                <c:pt idx="0">
                  <c:v>Vertical_MESAVERDE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[Summary.xlsx]Sheet2!$B$1:$P$1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[Summary.xlsx]Sheet2!$B$30:$P$30</c:f>
              <c:numCache>
                <c:formatCode>General</c:formatCode>
                <c:ptCount val="15"/>
                <c:pt idx="0">
                  <c:v>15315.485632183909</c:v>
                </c:pt>
                <c:pt idx="1">
                  <c:v>14554.580310880829</c:v>
                </c:pt>
                <c:pt idx="2">
                  <c:v>13385.119815668202</c:v>
                </c:pt>
                <c:pt idx="3">
                  <c:v>15190.702586206897</c:v>
                </c:pt>
                <c:pt idx="4">
                  <c:v>10116.534653465347</c:v>
                </c:pt>
                <c:pt idx="5">
                  <c:v>10367.69014084507</c:v>
                </c:pt>
                <c:pt idx="6">
                  <c:v>8389.9692307692312</c:v>
                </c:pt>
                <c:pt idx="7">
                  <c:v>8135.6321839080456</c:v>
                </c:pt>
                <c:pt idx="8">
                  <c:v>9399.8045977011498</c:v>
                </c:pt>
                <c:pt idx="9">
                  <c:v>8596.7222222222226</c:v>
                </c:pt>
                <c:pt idx="10">
                  <c:v>10602.711111111112</c:v>
                </c:pt>
                <c:pt idx="11">
                  <c:v>6560.8837209302328</c:v>
                </c:pt>
                <c:pt idx="12">
                  <c:v>10734.904761904761</c:v>
                </c:pt>
                <c:pt idx="13">
                  <c:v>17652.666666666668</c:v>
                </c:pt>
                <c:pt idx="14">
                  <c:v>13495.333333333334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48-4D6D-830D-69AF39285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160048"/>
        <c:axId val="474160464"/>
      </c:scatterChart>
      <c:valAx>
        <c:axId val="474160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60464"/>
        <c:crosses val="autoZero"/>
        <c:crossBetween val="midCat"/>
        <c:majorUnit val="1"/>
      </c:valAx>
      <c:valAx>
        <c:axId val="4741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Q0/N (MCF)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60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[Summary.xlsx]Sheet2!$A$11</c:f>
              <c:strCache>
                <c:ptCount val="1"/>
                <c:pt idx="0">
                  <c:v>Horizontal_MESAVERDE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[Summary.xlsx]Sheet2!$B$1:$P$1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[Summary.xlsx]Sheet2!$B$11:$P$11</c:f>
              <c:numCache>
                <c:formatCode>General</c:formatCode>
                <c:ptCount val="15"/>
                <c:pt idx="0">
                  <c:v>17600.333333333332</c:v>
                </c:pt>
                <c:pt idx="1">
                  <c:v>17785.90625</c:v>
                </c:pt>
                <c:pt idx="2">
                  <c:v>14276.611111111111</c:v>
                </c:pt>
                <c:pt idx="3">
                  <c:v>14587.16</c:v>
                </c:pt>
                <c:pt idx="4">
                  <c:v>11588.578947368422</c:v>
                </c:pt>
                <c:pt idx="5">
                  <c:v>8098.5</c:v>
                </c:pt>
                <c:pt idx="6">
                  <c:v>7110.9649122807014</c:v>
                </c:pt>
                <c:pt idx="7">
                  <c:v>8891.269841269841</c:v>
                </c:pt>
                <c:pt idx="8">
                  <c:v>7810.136842105263</c:v>
                </c:pt>
                <c:pt idx="9">
                  <c:v>11586.296296296296</c:v>
                </c:pt>
                <c:pt idx="10">
                  <c:v>8736.7833333333328</c:v>
                </c:pt>
                <c:pt idx="11">
                  <c:v>6585.7358490566039</c:v>
                </c:pt>
                <c:pt idx="12">
                  <c:v>12795.444444444445</c:v>
                </c:pt>
                <c:pt idx="13">
                  <c:v>20809.666666666668</c:v>
                </c:pt>
                <c:pt idx="14">
                  <c:v>11995.333333333334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39F-4D30-A260-9B7FA483E7B0}"/>
            </c:ext>
          </c:extLst>
        </c:ser>
        <c:ser>
          <c:idx val="1"/>
          <c:order val="2"/>
          <c:tx>
            <c:strRef>
              <c:f>[Summary.xlsx]Sheet2!$A$5</c:f>
              <c:strCache>
                <c:ptCount val="1"/>
                <c:pt idx="0">
                  <c:v>Horizontal_DELAWARE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[Summary.xlsx]Sheet2!$B$1:$P$1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[Summary.xlsx]Sheet2!$B$5:$P$5</c:f>
              <c:numCache>
                <c:formatCode>General</c:formatCode>
                <c:ptCount val="15"/>
                <c:pt idx="0">
                  <c:v>2680</c:v>
                </c:pt>
                <c:pt idx="1">
                  <c:v>2155</c:v>
                </c:pt>
                <c:pt idx="3">
                  <c:v>3396</c:v>
                </c:pt>
                <c:pt idx="4">
                  <c:v>1913</c:v>
                </c:pt>
                <c:pt idx="6">
                  <c:v>5709.333333333333</c:v>
                </c:pt>
                <c:pt idx="7">
                  <c:v>10225.75</c:v>
                </c:pt>
                <c:pt idx="9">
                  <c:v>6282.4</c:v>
                </c:pt>
                <c:pt idx="10">
                  <c:v>8377.6</c:v>
                </c:pt>
                <c:pt idx="11">
                  <c:v>13069.25</c:v>
                </c:pt>
                <c:pt idx="12">
                  <c:v>11306.583333333334</c:v>
                </c:pt>
                <c:pt idx="13">
                  <c:v>37693.735849056604</c:v>
                </c:pt>
                <c:pt idx="14">
                  <c:v>17286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39F-4D30-A260-9B7FA483E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160048"/>
        <c:axId val="474160464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[Summary.xlsx]Sheet2!$B$1:$P$1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2001</c:v>
                      </c:pt>
                      <c:pt idx="1">
                        <c:v>2002</c:v>
                      </c:pt>
                      <c:pt idx="2">
                        <c:v>2003</c:v>
                      </c:pt>
                      <c:pt idx="3">
                        <c:v>2004</c:v>
                      </c:pt>
                      <c:pt idx="4">
                        <c:v>2005</c:v>
                      </c:pt>
                      <c:pt idx="5">
                        <c:v>2006</c:v>
                      </c:pt>
                      <c:pt idx="6">
                        <c:v>2007</c:v>
                      </c:pt>
                      <c:pt idx="7">
                        <c:v>2008</c:v>
                      </c:pt>
                      <c:pt idx="8">
                        <c:v>2009</c:v>
                      </c:pt>
                      <c:pt idx="9">
                        <c:v>2010</c:v>
                      </c:pt>
                      <c:pt idx="10">
                        <c:v>2011</c:v>
                      </c:pt>
                      <c:pt idx="11">
                        <c:v>2012</c:v>
                      </c:pt>
                      <c:pt idx="12">
                        <c:v>2013</c:v>
                      </c:pt>
                      <c:pt idx="13">
                        <c:v>2014</c:v>
                      </c:pt>
                      <c:pt idx="14">
                        <c:v>2015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[Summary.xlsx]Sheet2!$B$3:$P$3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12507</c:v>
                      </c:pt>
                      <c:pt idx="1">
                        <c:v>467</c:v>
                      </c:pt>
                      <c:pt idx="2">
                        <c:v>15801</c:v>
                      </c:pt>
                      <c:pt idx="3">
                        <c:v>1005</c:v>
                      </c:pt>
                      <c:pt idx="4">
                        <c:v>27071.5</c:v>
                      </c:pt>
                      <c:pt idx="5">
                        <c:v>14922.8</c:v>
                      </c:pt>
                      <c:pt idx="6">
                        <c:v>2152</c:v>
                      </c:pt>
                      <c:pt idx="7">
                        <c:v>4629</c:v>
                      </c:pt>
                      <c:pt idx="8">
                        <c:v>6410.7142857142853</c:v>
                      </c:pt>
                      <c:pt idx="9">
                        <c:v>14397.5</c:v>
                      </c:pt>
                      <c:pt idx="10">
                        <c:v>16204.684931506848</c:v>
                      </c:pt>
                      <c:pt idx="11">
                        <c:v>13611.631578947368</c:v>
                      </c:pt>
                      <c:pt idx="12">
                        <c:v>15570.034965034965</c:v>
                      </c:pt>
                      <c:pt idx="13">
                        <c:v>41763.491031390135</c:v>
                      </c:pt>
                      <c:pt idx="14">
                        <c:v>27270.976470588233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239F-4D30-A260-9B7FA483E7B0}"/>
                  </c:ext>
                </c:extLst>
              </c15:ser>
            </c15:filteredScatterSeries>
          </c:ext>
        </c:extLst>
      </c:scatterChart>
      <c:valAx>
        <c:axId val="474160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60464"/>
        <c:crosses val="autoZero"/>
        <c:crossBetween val="midCat"/>
        <c:majorUnit val="1"/>
      </c:valAx>
      <c:valAx>
        <c:axId val="4741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Q0/N (MCF)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60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[Summary.xlsx]Oil!$P$4</c:f>
              <c:strCache>
                <c:ptCount val="1"/>
                <c:pt idx="0">
                  <c:v>Horizontal_BONE SPRNG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[Summary.xlsx]Oil!$Q$2:$AE$2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[Summary.xlsx]Oil!$Q$4:$AE$4</c:f>
              <c:numCache>
                <c:formatCode>0</c:formatCode>
                <c:ptCount val="15"/>
                <c:pt idx="0">
                  <c:v>3872</c:v>
                </c:pt>
                <c:pt idx="1">
                  <c:v>700</c:v>
                </c:pt>
                <c:pt idx="2">
                  <c:v>5053</c:v>
                </c:pt>
                <c:pt idx="3">
                  <c:v>1795</c:v>
                </c:pt>
                <c:pt idx="4">
                  <c:v>831.25</c:v>
                </c:pt>
                <c:pt idx="5">
                  <c:v>3521</c:v>
                </c:pt>
                <c:pt idx="6">
                  <c:v>1708</c:v>
                </c:pt>
                <c:pt idx="7">
                  <c:v>29</c:v>
                </c:pt>
                <c:pt idx="8">
                  <c:v>3053.5</c:v>
                </c:pt>
                <c:pt idx="9">
                  <c:v>3685.9545454545455</c:v>
                </c:pt>
                <c:pt idx="10">
                  <c:v>4198.0142857142855</c:v>
                </c:pt>
                <c:pt idx="11">
                  <c:v>7790.2739726027394</c:v>
                </c:pt>
                <c:pt idx="12">
                  <c:v>11096.692857142858</c:v>
                </c:pt>
                <c:pt idx="13">
                  <c:v>24518.628318584069</c:v>
                </c:pt>
                <c:pt idx="14">
                  <c:v>17848.741176470587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629-48C2-807E-590032232FB0}"/>
            </c:ext>
          </c:extLst>
        </c:ser>
        <c:ser>
          <c:idx val="1"/>
          <c:order val="1"/>
          <c:tx>
            <c:strRef>
              <c:f>[Summary.xlsx]Oil!$P$21</c:f>
              <c:strCache>
                <c:ptCount val="1"/>
                <c:pt idx="0">
                  <c:v>Vertical_BONE SPRNG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[Summary.xlsx]Oil!$Q$2:$AE$2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xVal>
          <c:yVal>
            <c:numRef>
              <c:f>[Summary.xlsx]Oil!$Q$21:$AE$21</c:f>
              <c:numCache>
                <c:formatCode>0</c:formatCode>
                <c:ptCount val="15"/>
                <c:pt idx="0">
                  <c:v>1822.2272727272727</c:v>
                </c:pt>
                <c:pt idx="1">
                  <c:v>1752.8666666666666</c:v>
                </c:pt>
                <c:pt idx="2">
                  <c:v>1755.7435897435898</c:v>
                </c:pt>
                <c:pt idx="3">
                  <c:v>961.96296296296293</c:v>
                </c:pt>
                <c:pt idx="4">
                  <c:v>1285.8076923076924</c:v>
                </c:pt>
                <c:pt idx="5">
                  <c:v>1300.05</c:v>
                </c:pt>
                <c:pt idx="6">
                  <c:v>1089.2333333333333</c:v>
                </c:pt>
                <c:pt idx="7">
                  <c:v>1304.8648648648648</c:v>
                </c:pt>
                <c:pt idx="8">
                  <c:v>1294.090909090909</c:v>
                </c:pt>
                <c:pt idx="9">
                  <c:v>3119.1315789473683</c:v>
                </c:pt>
                <c:pt idx="10">
                  <c:v>2180.8095238095239</c:v>
                </c:pt>
                <c:pt idx="11">
                  <c:v>3408.6363636363635</c:v>
                </c:pt>
                <c:pt idx="12">
                  <c:v>4259.2857142857147</c:v>
                </c:pt>
                <c:pt idx="13">
                  <c:v>12351.176470588236</c:v>
                </c:pt>
                <c:pt idx="14">
                  <c:v>713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629-48C2-807E-590032232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8676096"/>
        <c:axId val="468676928"/>
      </c:scatterChart>
      <c:valAx>
        <c:axId val="468676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676928"/>
        <c:crosses val="autoZero"/>
        <c:crossBetween val="midCat"/>
        <c:majorUnit val="1"/>
      </c:valAx>
      <c:valAx>
        <c:axId val="46867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Q0/N (BBL)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6760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0F34-F4C2-443F-8FC1-CA2256A5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FORECASTING NEW WELL SUPPLY FOR OIL AND NATURAL GAS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FORECASTING NEW WELL SUPPLY FOR OIL AND NATURAL GAS</dc:title>
  <dc:subject/>
  <dc:creator>Elmira Kalhor</dc:creator>
  <cp:keywords/>
  <dc:description/>
  <cp:lastModifiedBy>Elmira</cp:lastModifiedBy>
  <cp:revision>3</cp:revision>
  <dcterms:created xsi:type="dcterms:W3CDTF">2018-04-20T17:03:00Z</dcterms:created>
  <dcterms:modified xsi:type="dcterms:W3CDTF">2018-04-20T17:44:00Z</dcterms:modified>
</cp:coreProperties>
</file>