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1181" w:rsidRDefault="006F7580">
      <w:pPr>
        <w:pStyle w:val="copyright"/>
        <w:rPr>
          <w:lang w:val="de-DE"/>
        </w:rPr>
      </w:pPr>
      <w:r>
        <w:rPr>
          <w:noProof/>
          <w:lang w:val="de-DE" w:eastAsia="de-DE"/>
        </w:rPr>
        <mc:AlternateContent>
          <mc:Choice Requires="wps">
            <w:drawing>
              <wp:anchor distT="0" distB="0" distL="118745" distR="118745" simplePos="0" relativeHeight="251657728" behindDoc="0" locked="0" layoutInCell="1" allowOverlap="1">
                <wp:simplePos x="0" y="0"/>
                <wp:positionH relativeFrom="page">
                  <wp:posOffset>453390</wp:posOffset>
                </wp:positionH>
                <wp:positionV relativeFrom="page">
                  <wp:posOffset>688975</wp:posOffset>
                </wp:positionV>
                <wp:extent cx="6857365" cy="157099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1570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181" w:rsidRDefault="00171181">
                            <w:pPr>
                              <w:jc w:val="center"/>
                            </w:pPr>
                            <w:r>
                              <w:t xml:space="preserve">       </w:t>
                            </w:r>
                            <w:r>
                              <w:tab/>
                            </w:r>
                            <w:r>
                              <w:tab/>
                            </w:r>
                            <w:r>
                              <w:tab/>
                            </w:r>
                            <w:r>
                              <w:tab/>
                            </w:r>
                            <w:r>
                              <w:tab/>
                            </w:r>
                            <w:r>
                              <w:tab/>
                            </w:r>
                            <w:r>
                              <w:tab/>
                            </w:r>
                            <w:r>
                              <w:tab/>
                            </w:r>
                            <w:r>
                              <w:tab/>
                              <w:t xml:space="preserve">                                                 </w:t>
                            </w:r>
                            <w:r>
                              <w:tab/>
                            </w:r>
                          </w:p>
                          <w:p w:rsidR="00171181" w:rsidRPr="00481042" w:rsidRDefault="00E21A56" w:rsidP="00E21A56">
                            <w:pPr>
                              <w:pStyle w:val="Textkrper"/>
                              <w:rPr>
                                <w:b/>
                                <w:i/>
                                <w:caps/>
                                <w:sz w:val="28"/>
                                <w:szCs w:val="28"/>
                                <w:lang w:val="en-US"/>
                              </w:rPr>
                            </w:pPr>
                            <w:r w:rsidRPr="00E21A56">
                              <w:rPr>
                                <w:b/>
                                <w:i/>
                                <w:caps/>
                                <w:sz w:val="28"/>
                                <w:szCs w:val="28"/>
                              </w:rPr>
                              <w:t>Scenarios for a Low-Carbon</w:t>
                            </w:r>
                            <w:r>
                              <w:rPr>
                                <w:b/>
                                <w:i/>
                                <w:caps/>
                                <w:sz w:val="28"/>
                                <w:szCs w:val="28"/>
                              </w:rPr>
                              <w:t xml:space="preserve"> </w:t>
                            </w:r>
                            <w:r w:rsidRPr="00E21A56">
                              <w:rPr>
                                <w:b/>
                                <w:i/>
                                <w:caps/>
                                <w:sz w:val="28"/>
                                <w:szCs w:val="28"/>
                              </w:rPr>
                              <w:t>European Electricity Sector</w:t>
                            </w:r>
                          </w:p>
                          <w:p w:rsidR="0012366B" w:rsidRDefault="0012366B">
                            <w:pPr>
                              <w:pStyle w:val="Textkrper"/>
                            </w:pPr>
                          </w:p>
                          <w:p w:rsidR="00171181" w:rsidRPr="006C02A7" w:rsidRDefault="00481042" w:rsidP="00481042">
                            <w:pPr>
                              <w:pStyle w:val="Textkrper"/>
                              <w:jc w:val="right"/>
                              <w:rPr>
                                <w:lang w:val="de-DE"/>
                              </w:rPr>
                            </w:pPr>
                            <w:bookmarkStart w:id="0" w:name="_GoBack"/>
                            <w:r w:rsidRPr="00685209">
                              <w:rPr>
                                <w:b/>
                                <w:sz w:val="20"/>
                                <w:lang w:val="de-DE"/>
                              </w:rPr>
                              <w:t>Clemens Gerbaulet, TU Berlin and DIW Berlin, cfg@wip.tu-berlin.de</w:t>
                            </w:r>
                            <w:bookmarkEnd w:id="0"/>
                            <w:r w:rsidRPr="00481042">
                              <w:rPr>
                                <w:sz w:val="20"/>
                                <w:lang w:val="de-DE"/>
                              </w:rPr>
                              <w:br/>
                            </w:r>
                            <w:r w:rsidR="00A44FCD" w:rsidRPr="00481042">
                              <w:rPr>
                                <w:sz w:val="20"/>
                                <w:lang w:val="de-DE"/>
                              </w:rPr>
                              <w:t>Claudia Kemfert</w:t>
                            </w:r>
                            <w:r w:rsidR="00A44FCD">
                              <w:rPr>
                                <w:sz w:val="20"/>
                                <w:lang w:val="de-DE"/>
                              </w:rPr>
                              <w:t>, DIW</w:t>
                            </w:r>
                            <w:r w:rsidR="00A44FCD" w:rsidRPr="00481042">
                              <w:rPr>
                                <w:sz w:val="20"/>
                                <w:lang w:val="de-DE"/>
                              </w:rPr>
                              <w:t xml:space="preserve"> Berlin</w:t>
                            </w:r>
                            <w:r w:rsidR="00A44FCD">
                              <w:rPr>
                                <w:sz w:val="20"/>
                                <w:lang w:val="de-DE"/>
                              </w:rPr>
                              <w:t>,</w:t>
                            </w:r>
                            <w:r w:rsidR="00A44FCD" w:rsidRPr="00481042">
                              <w:rPr>
                                <w:sz w:val="20"/>
                                <w:lang w:val="de-DE"/>
                              </w:rPr>
                              <w:t xml:space="preserve"> </w:t>
                            </w:r>
                            <w:r w:rsidR="00A44FCD">
                              <w:rPr>
                                <w:sz w:val="20"/>
                                <w:lang w:val="de-DE"/>
                              </w:rPr>
                              <w:t>ckemfert@diw.de</w:t>
                            </w:r>
                            <w:r w:rsidR="00A44FCD" w:rsidRPr="00481042">
                              <w:rPr>
                                <w:sz w:val="20"/>
                                <w:lang w:val="de-DE"/>
                              </w:rPr>
                              <w:br/>
                            </w:r>
                            <w:r w:rsidRPr="00481042">
                              <w:rPr>
                                <w:sz w:val="20"/>
                                <w:lang w:val="de-DE"/>
                              </w:rPr>
                              <w:t>Casimir Lorenz</w:t>
                            </w:r>
                            <w:r>
                              <w:rPr>
                                <w:sz w:val="20"/>
                                <w:lang w:val="de-DE"/>
                              </w:rPr>
                              <w:t xml:space="preserve">, </w:t>
                            </w:r>
                            <w:r w:rsidRPr="00481042">
                              <w:rPr>
                                <w:sz w:val="20"/>
                                <w:lang w:val="de-DE"/>
                              </w:rPr>
                              <w:t>TU Berlin</w:t>
                            </w:r>
                            <w:r w:rsidR="00B451F2" w:rsidRPr="00B451F2">
                              <w:rPr>
                                <w:sz w:val="20"/>
                                <w:lang w:val="de-DE"/>
                              </w:rPr>
                              <w:t xml:space="preserve"> </w:t>
                            </w:r>
                            <w:r w:rsidR="00B451F2">
                              <w:rPr>
                                <w:sz w:val="20"/>
                                <w:lang w:val="de-DE"/>
                              </w:rPr>
                              <w:t>and DIW Berlin</w:t>
                            </w:r>
                            <w:r>
                              <w:rPr>
                                <w:sz w:val="20"/>
                                <w:lang w:val="de-DE"/>
                              </w:rPr>
                              <w:t>,</w:t>
                            </w:r>
                            <w:r w:rsidRPr="00481042">
                              <w:rPr>
                                <w:sz w:val="20"/>
                                <w:lang w:val="de-DE"/>
                              </w:rPr>
                              <w:t xml:space="preserve"> </w:t>
                            </w:r>
                            <w:r>
                              <w:rPr>
                                <w:sz w:val="20"/>
                                <w:lang w:val="de-DE"/>
                              </w:rPr>
                              <w:t>cl</w:t>
                            </w:r>
                            <w:r w:rsidRPr="00481042">
                              <w:rPr>
                                <w:sz w:val="20"/>
                                <w:lang w:val="de-DE"/>
                              </w:rPr>
                              <w:t>@wip.tu-berlin.de</w:t>
                            </w:r>
                            <w:r w:rsidRPr="00481042">
                              <w:rPr>
                                <w:sz w:val="20"/>
                                <w:lang w:val="de-DE"/>
                              </w:rPr>
                              <w:br/>
                              <w:t>Pao-Yu Oei</w:t>
                            </w:r>
                            <w:r>
                              <w:rPr>
                                <w:sz w:val="20"/>
                                <w:lang w:val="de-DE"/>
                              </w:rPr>
                              <w:t xml:space="preserve">, </w:t>
                            </w:r>
                            <w:r w:rsidRPr="00481042">
                              <w:rPr>
                                <w:sz w:val="20"/>
                                <w:lang w:val="de-DE"/>
                              </w:rPr>
                              <w:t>TU Berlin</w:t>
                            </w:r>
                            <w:r w:rsidR="00B451F2" w:rsidRPr="00B451F2">
                              <w:rPr>
                                <w:sz w:val="20"/>
                                <w:lang w:val="de-DE"/>
                              </w:rPr>
                              <w:t xml:space="preserve"> </w:t>
                            </w:r>
                            <w:r w:rsidR="00B451F2">
                              <w:rPr>
                                <w:sz w:val="20"/>
                                <w:lang w:val="de-DE"/>
                              </w:rPr>
                              <w:t>and DIW Berlin</w:t>
                            </w:r>
                            <w:r>
                              <w:rPr>
                                <w:sz w:val="20"/>
                                <w:lang w:val="de-DE"/>
                              </w:rPr>
                              <w:t>,</w:t>
                            </w:r>
                            <w:r w:rsidRPr="00481042">
                              <w:rPr>
                                <w:sz w:val="20"/>
                                <w:lang w:val="de-DE"/>
                              </w:rPr>
                              <w:t xml:space="preserve"> </w:t>
                            </w:r>
                            <w:r>
                              <w:rPr>
                                <w:sz w:val="20"/>
                                <w:lang w:val="de-DE"/>
                              </w:rPr>
                              <w:t>pyo</w:t>
                            </w:r>
                            <w:r w:rsidRPr="00481042">
                              <w:rPr>
                                <w:sz w:val="20"/>
                                <w:lang w:val="de-DE"/>
                              </w:rPr>
                              <w:t>@wip.tu-berlin.de</w:t>
                            </w:r>
                            <w:r w:rsidRPr="00481042">
                              <w:rPr>
                                <w:sz w:val="20"/>
                                <w:lang w:val="de-D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pt;margin-top:54.25pt;width:539.95pt;height:123.7pt;z-index:25165772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" stroked="f">
                <v:fill opacity="0"/>
                <v:textbox inset="0,0,0,0">
                  <w:txbxContent>
                    <w:p w:rsidR="00171181" w:rsidRDefault="00171181">
                      <w:pPr>
                        <w:jc w:val="center"/>
                      </w:pPr>
                      <w:r>
                        <w:t xml:space="preserve">       </w:t>
                      </w:r>
                      <w:r>
                        <w:tab/>
                      </w:r>
                      <w:r>
                        <w:tab/>
                      </w:r>
                      <w:r>
                        <w:tab/>
                      </w:r>
                      <w:r>
                        <w:tab/>
                      </w:r>
                      <w:r>
                        <w:tab/>
                      </w:r>
                      <w:r>
                        <w:tab/>
                      </w:r>
                      <w:r>
                        <w:tab/>
                      </w:r>
                      <w:r>
                        <w:tab/>
                      </w:r>
                      <w:r>
                        <w:tab/>
                        <w:t xml:space="preserve">                                                 </w:t>
                      </w:r>
                      <w:r>
                        <w:tab/>
                      </w:r>
                    </w:p>
                    <w:p w:rsidR="00171181" w:rsidRPr="00481042" w:rsidRDefault="00E21A56" w:rsidP="00E21A56">
                      <w:pPr>
                        <w:pStyle w:val="Textkrper"/>
                        <w:rPr>
                          <w:b/>
                          <w:i/>
                          <w:caps/>
                          <w:sz w:val="28"/>
                          <w:szCs w:val="28"/>
                          <w:lang w:val="en-US"/>
                        </w:rPr>
                      </w:pPr>
                      <w:r w:rsidRPr="00E21A56">
                        <w:rPr>
                          <w:b/>
                          <w:i/>
                          <w:caps/>
                          <w:sz w:val="28"/>
                          <w:szCs w:val="28"/>
                        </w:rPr>
                        <w:t>Scenarios for a Low-Carbon</w:t>
                      </w:r>
                      <w:r>
                        <w:rPr>
                          <w:b/>
                          <w:i/>
                          <w:caps/>
                          <w:sz w:val="28"/>
                          <w:szCs w:val="28"/>
                        </w:rPr>
                        <w:t xml:space="preserve"> </w:t>
                      </w:r>
                      <w:r w:rsidRPr="00E21A56">
                        <w:rPr>
                          <w:b/>
                          <w:i/>
                          <w:caps/>
                          <w:sz w:val="28"/>
                          <w:szCs w:val="28"/>
                        </w:rPr>
                        <w:t>European Electricity Sector</w:t>
                      </w:r>
                    </w:p>
                    <w:p w:rsidR="0012366B" w:rsidRDefault="0012366B">
                      <w:pPr>
                        <w:pStyle w:val="Textkrper"/>
                      </w:pPr>
                    </w:p>
                    <w:p w:rsidR="00171181" w:rsidRPr="006C02A7" w:rsidRDefault="00481042" w:rsidP="00481042">
                      <w:pPr>
                        <w:pStyle w:val="Textkrper"/>
                        <w:jc w:val="right"/>
                        <w:rPr>
                          <w:lang w:val="de-DE"/>
                        </w:rPr>
                      </w:pPr>
                      <w:bookmarkStart w:id="1" w:name="_GoBack"/>
                      <w:r w:rsidRPr="00685209">
                        <w:rPr>
                          <w:b/>
                          <w:sz w:val="20"/>
                          <w:lang w:val="de-DE"/>
                        </w:rPr>
                        <w:t>Clemens Gerbaulet, TU Berlin and DIW Berlin, cfg@wip.tu-berlin.de</w:t>
                      </w:r>
                      <w:bookmarkEnd w:id="1"/>
                      <w:r w:rsidRPr="00481042">
                        <w:rPr>
                          <w:sz w:val="20"/>
                          <w:lang w:val="de-DE"/>
                        </w:rPr>
                        <w:br/>
                      </w:r>
                      <w:r w:rsidR="00A44FCD" w:rsidRPr="00481042">
                        <w:rPr>
                          <w:sz w:val="20"/>
                          <w:lang w:val="de-DE"/>
                        </w:rPr>
                        <w:t>Claudia Kemfert</w:t>
                      </w:r>
                      <w:r w:rsidR="00A44FCD">
                        <w:rPr>
                          <w:sz w:val="20"/>
                          <w:lang w:val="de-DE"/>
                        </w:rPr>
                        <w:t>, DIW</w:t>
                      </w:r>
                      <w:r w:rsidR="00A44FCD" w:rsidRPr="00481042">
                        <w:rPr>
                          <w:sz w:val="20"/>
                          <w:lang w:val="de-DE"/>
                        </w:rPr>
                        <w:t xml:space="preserve"> Berlin</w:t>
                      </w:r>
                      <w:r w:rsidR="00A44FCD">
                        <w:rPr>
                          <w:sz w:val="20"/>
                          <w:lang w:val="de-DE"/>
                        </w:rPr>
                        <w:t>,</w:t>
                      </w:r>
                      <w:r w:rsidR="00A44FCD" w:rsidRPr="00481042">
                        <w:rPr>
                          <w:sz w:val="20"/>
                          <w:lang w:val="de-DE"/>
                        </w:rPr>
                        <w:t xml:space="preserve"> </w:t>
                      </w:r>
                      <w:r w:rsidR="00A44FCD">
                        <w:rPr>
                          <w:sz w:val="20"/>
                          <w:lang w:val="de-DE"/>
                        </w:rPr>
                        <w:t>ckemfert@diw.de</w:t>
                      </w:r>
                      <w:r w:rsidR="00A44FCD" w:rsidRPr="00481042">
                        <w:rPr>
                          <w:sz w:val="20"/>
                          <w:lang w:val="de-DE"/>
                        </w:rPr>
                        <w:br/>
                      </w:r>
                      <w:r w:rsidRPr="00481042">
                        <w:rPr>
                          <w:sz w:val="20"/>
                          <w:lang w:val="de-DE"/>
                        </w:rPr>
                        <w:t>Casimir Lorenz</w:t>
                      </w:r>
                      <w:r>
                        <w:rPr>
                          <w:sz w:val="20"/>
                          <w:lang w:val="de-DE"/>
                        </w:rPr>
                        <w:t xml:space="preserve">, </w:t>
                      </w:r>
                      <w:r w:rsidRPr="00481042">
                        <w:rPr>
                          <w:sz w:val="20"/>
                          <w:lang w:val="de-DE"/>
                        </w:rPr>
                        <w:t>TU Berlin</w:t>
                      </w:r>
                      <w:r w:rsidR="00B451F2" w:rsidRPr="00B451F2">
                        <w:rPr>
                          <w:sz w:val="20"/>
                          <w:lang w:val="de-DE"/>
                        </w:rPr>
                        <w:t xml:space="preserve"> </w:t>
                      </w:r>
                      <w:r w:rsidR="00B451F2">
                        <w:rPr>
                          <w:sz w:val="20"/>
                          <w:lang w:val="de-DE"/>
                        </w:rPr>
                        <w:t>and DIW Berlin</w:t>
                      </w:r>
                      <w:r>
                        <w:rPr>
                          <w:sz w:val="20"/>
                          <w:lang w:val="de-DE"/>
                        </w:rPr>
                        <w:t>,</w:t>
                      </w:r>
                      <w:r w:rsidRPr="00481042">
                        <w:rPr>
                          <w:sz w:val="20"/>
                          <w:lang w:val="de-DE"/>
                        </w:rPr>
                        <w:t xml:space="preserve"> </w:t>
                      </w:r>
                      <w:r>
                        <w:rPr>
                          <w:sz w:val="20"/>
                          <w:lang w:val="de-DE"/>
                        </w:rPr>
                        <w:t>cl</w:t>
                      </w:r>
                      <w:r w:rsidRPr="00481042">
                        <w:rPr>
                          <w:sz w:val="20"/>
                          <w:lang w:val="de-DE"/>
                        </w:rPr>
                        <w:t>@wip.tu-berlin.de</w:t>
                      </w:r>
                      <w:r w:rsidRPr="00481042">
                        <w:rPr>
                          <w:sz w:val="20"/>
                          <w:lang w:val="de-DE"/>
                        </w:rPr>
                        <w:br/>
                        <w:t>Pao-Yu Oei</w:t>
                      </w:r>
                      <w:r>
                        <w:rPr>
                          <w:sz w:val="20"/>
                          <w:lang w:val="de-DE"/>
                        </w:rPr>
                        <w:t xml:space="preserve">, </w:t>
                      </w:r>
                      <w:r w:rsidRPr="00481042">
                        <w:rPr>
                          <w:sz w:val="20"/>
                          <w:lang w:val="de-DE"/>
                        </w:rPr>
                        <w:t>TU Berlin</w:t>
                      </w:r>
                      <w:r w:rsidR="00B451F2" w:rsidRPr="00B451F2">
                        <w:rPr>
                          <w:sz w:val="20"/>
                          <w:lang w:val="de-DE"/>
                        </w:rPr>
                        <w:t xml:space="preserve"> </w:t>
                      </w:r>
                      <w:r w:rsidR="00B451F2">
                        <w:rPr>
                          <w:sz w:val="20"/>
                          <w:lang w:val="de-DE"/>
                        </w:rPr>
                        <w:t>and DIW Berlin</w:t>
                      </w:r>
                      <w:r>
                        <w:rPr>
                          <w:sz w:val="20"/>
                          <w:lang w:val="de-DE"/>
                        </w:rPr>
                        <w:t>,</w:t>
                      </w:r>
                      <w:r w:rsidRPr="00481042">
                        <w:rPr>
                          <w:sz w:val="20"/>
                          <w:lang w:val="de-DE"/>
                        </w:rPr>
                        <w:t xml:space="preserve"> </w:t>
                      </w:r>
                      <w:r>
                        <w:rPr>
                          <w:sz w:val="20"/>
                          <w:lang w:val="de-DE"/>
                        </w:rPr>
                        <w:t>pyo</w:t>
                      </w:r>
                      <w:r w:rsidRPr="00481042">
                        <w:rPr>
                          <w:sz w:val="20"/>
                          <w:lang w:val="de-DE"/>
                        </w:rPr>
                        <w:t>@wip.tu-berlin.de</w:t>
                      </w:r>
                      <w:r w:rsidRPr="00481042">
                        <w:rPr>
                          <w:sz w:val="20"/>
                          <w:lang w:val="de-DE"/>
                        </w:rPr>
                        <w:br/>
                      </w:r>
                    </w:p>
                  </w:txbxContent>
                </v:textbox>
                <w10:wrap type="square" side="largest" anchorx="page" anchory="page"/>
              </v:shape>
            </w:pict>
          </mc:Fallback>
        </mc:AlternateContent>
      </w:r>
    </w:p>
    <w:p w:rsidR="00171181" w:rsidRDefault="00171181">
      <w:pPr>
        <w:pStyle w:val="Textkrper21"/>
        <w:spacing w:after="200"/>
        <w:rPr>
          <w:highlight w:val="yellow"/>
          <w:lang w:val="de-DE"/>
        </w:rPr>
      </w:pPr>
    </w:p>
    <w:p w:rsidR="00171181" w:rsidRDefault="00171181">
      <w:pPr>
        <w:pStyle w:val="berschrift2"/>
        <w:ind w:left="-810" w:firstLine="810"/>
      </w:pPr>
      <w:r>
        <w:rPr>
          <w:i w:val="0"/>
          <w:sz w:val="24"/>
          <w:szCs w:val="24"/>
        </w:rPr>
        <w:t>Overview</w:t>
      </w:r>
    </w:p>
    <w:p w:rsidR="00171181" w:rsidRPr="00B451F2" w:rsidRDefault="00E21A56" w:rsidP="00E21A56">
      <w:pPr>
        <w:pStyle w:val="Textkrper21"/>
        <w:spacing w:after="200"/>
        <w:rPr>
          <w:lang w:val="en-US"/>
        </w:rPr>
      </w:pPr>
      <w:r w:rsidRPr="006B0EE7">
        <w:rPr>
          <w:rFonts w:eastAsia="MS Mincho"/>
        </w:rPr>
        <w:t>This paper compares different approaches to decarbonize the electricity sector in Europe</w:t>
      </w:r>
      <w:r>
        <w:rPr>
          <w:rFonts w:eastAsia="MS Mincho"/>
        </w:rPr>
        <w:t xml:space="preserve"> </w:t>
      </w:r>
      <w:r w:rsidRPr="006B0EE7">
        <w:rPr>
          <w:rFonts w:eastAsia="MS Mincho"/>
        </w:rPr>
        <w:t>using a specific model d</w:t>
      </w:r>
      <w:r>
        <w:rPr>
          <w:rFonts w:eastAsia="MS Mincho"/>
        </w:rPr>
        <w:t xml:space="preserve">eveloped by the authors called </w:t>
      </w:r>
      <w:r w:rsidRPr="006B0EE7">
        <w:rPr>
          <w:rFonts w:eastAsia="MS Mincho"/>
        </w:rPr>
        <w:t>dynELMOD.</w:t>
      </w:r>
      <w:r>
        <w:rPr>
          <w:rFonts w:eastAsia="MS Mincho"/>
        </w:rPr>
        <w:t xml:space="preserve"> </w:t>
      </w:r>
      <w:r>
        <w:t>We find that, renewables carry the major burden of decarbonization. Scenario analysis suggests that only in the case of a breakthrough of CCTS some biomass-CCTS plants might play a role by 2050 through their negative CO</w:t>
      </w:r>
      <w:r w:rsidRPr="005C07ED">
        <w:rPr>
          <w:vertAlign w:val="subscript"/>
        </w:rPr>
        <w:t>2</w:t>
      </w:r>
      <w:r>
        <w:t>-emissions. Incorporating the climate targets makes the investment into any additional fossil capacity uneconomic from 2025 onwards, resulting in a coal and natural gas phase-out in the 2040s. The model is run using different foresight assumptions. Limited foresight thus results in stranded investments of fossil capacities in the 2020s. Using a CO</w:t>
      </w:r>
      <w:r w:rsidRPr="00436AFC">
        <w:rPr>
          <w:vertAlign w:val="subscript"/>
        </w:rPr>
        <w:t>2</w:t>
      </w:r>
      <w:r>
        <w:t xml:space="preserve"> budgetary approach, on the other hand, leads to an even sharper emission reduction in the early periods before 2030, reducing overall costs.</w:t>
      </w:r>
      <w:r w:rsidR="00B451F2" w:rsidRPr="001F0B9C">
        <w:rPr>
          <w:noProof/>
        </w:rPr>
        <w:t xml:space="preserve"> The initial approach, sketched out by the European Union’s “Reference Scenario”</w:t>
      </w:r>
      <w:r w:rsidR="006077D6" w:rsidRPr="001F0B9C">
        <w:rPr>
          <w:noProof/>
        </w:rPr>
        <w:t xml:space="preserve"> </w:t>
      </w:r>
      <w:r w:rsidR="006077D6" w:rsidRPr="001F0B9C">
        <w:rPr>
          <w:noProof/>
        </w:rPr>
        <w:fldChar w:fldCharType="begin"/>
      </w:r>
      <w:r w:rsidR="006077D6" w:rsidRPr="001F0B9C">
        <w:rPr>
          <w:noProof/>
        </w:rPr>
        <w:instrText xml:space="preserve"> ADDIN ZOTERO_ITEM CSL_CITATION {"citationID":"14hd1vl67h","properties":{"formattedCitation":"(EC, 2011, 2013, 2016)","plainCitation":"(EC, 2011, 2013, 2016)"},"citationItems":[{"id":1501,"uris":["http://zotero.org/groups/75320/items/EIA7UXBW"],"uri":["http://zotero.org/groups/75320/items/EIA7UXBW"],"itemData":{"id":1501,"type":"legislation","title":"A Roadmap for moving to a competitive low carbon economy in 2050","volume":"COM(2011) 112","URL":"http://eur-lex.europa.eu/legal-content/EN/TXT/?uri=CELEX:52011DC0112","author":[{"literal":"EC"}],"issued":{"date-parts":[["2011",8,3]]},"accessed":{"date-parts":[["2016",9,14]]}}},{"id":321,"uris":["http://zotero.org/groups/75320/items/3PU4FUTZ"],"uri":["http://zotero.org/groups/75320/items/3PU4FUTZ"],"itemData":{"id":321,"type":"report","title":"EU Energy, Transport and GHG Emissions Trends to 2050: Reference Scenario 2013","publisher":"European Commission","publisher-place":"Brussels, Belgium","event-place":"Brussels, Belgium","URL":"http://ec.europa.eu/transport/media/publications/doc/trends-to-2050-update-2013.pdf","author":[{"literal":"EC"}],"issued":{"date-parts":[["2013",12,16]]},"accessed":{"date-parts":[["2016",9,14]]}}},{"id":7727,"uris":["http://zotero.org/groups/75320/items/7XGBQHUZ"],"uri":["http://zotero.org/groups/75320/items/7XGBQHUZ"],"itemData":{"id":7727,"type":"report","title":"EU Reference Scenario 2016: Energy, transport and GHG emissions – Trends to 2050","publisher":"European Commission","publisher-place":"Brussels, Belgium","event-place":"Brussels, Belgium","URL":"https://ec.europa.eu/energy/sites/ener/files/documents/REF2016_report_FINAL-web.pdf","author":[{"literal":"EC"}],"issued":{"date-parts":[["2016"]]},"accessed":{"date-parts":[["2016",9,16]]}}}],"schema":"https://github.com/citation-style-language/schema/raw/master/csl-citation.json"} </w:instrText>
      </w:r>
      <w:r w:rsidR="006077D6" w:rsidRPr="001F0B9C">
        <w:rPr>
          <w:noProof/>
        </w:rPr>
        <w:fldChar w:fldCharType="separate"/>
      </w:r>
      <w:r w:rsidR="006077D6" w:rsidRPr="001F0B9C">
        <w:rPr>
          <w:noProof/>
        </w:rPr>
        <w:t>(EC, 2011, 2013, 2016)</w:t>
      </w:r>
      <w:r w:rsidR="006077D6" w:rsidRPr="001F0B9C">
        <w:rPr>
          <w:noProof/>
        </w:rPr>
        <w:fldChar w:fldCharType="end"/>
      </w:r>
      <w:r w:rsidR="00B451F2" w:rsidRPr="001F0B9C">
        <w:rPr>
          <w:noProof/>
        </w:rPr>
        <w:t xml:space="preserve"> relie</w:t>
      </w:r>
      <w:r w:rsidR="006077D6" w:rsidRPr="001F0B9C">
        <w:rPr>
          <w:noProof/>
        </w:rPr>
        <w:t>s</w:t>
      </w:r>
      <w:r w:rsidR="00B451F2" w:rsidRPr="001F0B9C">
        <w:rPr>
          <w:noProof/>
        </w:rPr>
        <w:t xml:space="preserve"> on a triad of fossil fuels (with carbon capture, transport, and storage – CCTS), nuclear energy, and renewables.</w:t>
      </w:r>
      <w:r w:rsidR="00B451F2" w:rsidRPr="00B451F2">
        <w:t xml:space="preserve"> The paper tests this hypothesis by providing a discussion of recent cost trends, and by </w:t>
      </w:r>
      <w:r w:rsidR="00614D05" w:rsidRPr="001F0B9C">
        <w:rPr>
          <w:noProof/>
        </w:rPr>
        <w:t>modeling</w:t>
      </w:r>
      <w:r w:rsidR="00B451F2" w:rsidRPr="00B451F2">
        <w:t xml:space="preserve"> different pathways for the low-carbon transformation, using a specific model developed by the authors called “dynELMOD (Gerbaulet et </w:t>
      </w:r>
      <w:r w:rsidR="00B451F2" w:rsidRPr="001F0B9C">
        <w:rPr>
          <w:noProof/>
        </w:rPr>
        <w:t>al</w:t>
      </w:r>
      <w:r w:rsidR="001F0B9C">
        <w:rPr>
          <w:noProof/>
        </w:rPr>
        <w:t>.</w:t>
      </w:r>
      <w:r w:rsidR="00B451F2" w:rsidRPr="00B451F2">
        <w:t>, 201</w:t>
      </w:r>
      <w:r w:rsidR="00985383">
        <w:t>7</w:t>
      </w:r>
      <w:r w:rsidR="00B451F2" w:rsidRPr="00B451F2">
        <w:t>).</w:t>
      </w:r>
    </w:p>
    <w:p w:rsidR="00171181" w:rsidRDefault="00171181">
      <w:pPr>
        <w:pStyle w:val="berschrift2"/>
      </w:pPr>
      <w:r>
        <w:rPr>
          <w:i w:val="0"/>
          <w:sz w:val="24"/>
          <w:szCs w:val="24"/>
        </w:rPr>
        <w:t>Methods</w:t>
      </w:r>
    </w:p>
    <w:p w:rsidR="00B451F2" w:rsidRDefault="00B451F2">
      <w:pPr>
        <w:jc w:val="both"/>
        <w:rPr>
          <w:lang w:val="en-US"/>
        </w:rPr>
      </w:pPr>
      <w:r>
        <w:rPr>
          <w:lang w:val="en-US"/>
        </w:rPr>
        <w:t xml:space="preserve">This paper presents different scenarios for the decarbonization of the European electricity sector in 2050 relying on a detailed model of </w:t>
      </w:r>
      <w:r w:rsidRPr="001F0B9C">
        <w:rPr>
          <w:noProof/>
          <w:lang w:val="en-US"/>
        </w:rPr>
        <w:t>electricity</w:t>
      </w:r>
      <w:r>
        <w:rPr>
          <w:lang w:val="en-US"/>
        </w:rPr>
        <w:t xml:space="preserve"> generation, transmission, and consumption, called dynELMOD.</w:t>
      </w:r>
      <w:r w:rsidR="00A44FCD">
        <w:rPr>
          <w:lang w:val="en-US"/>
        </w:rPr>
        <w:t xml:space="preserve"> </w:t>
      </w:r>
      <w:r>
        <w:rPr>
          <w:lang w:val="en-US"/>
        </w:rPr>
        <w:t>We develop multiple generation capacity</w:t>
      </w:r>
      <w:r w:rsidRPr="00B6568E">
        <w:rPr>
          <w:lang w:val="en-US"/>
        </w:rPr>
        <w:t xml:space="preserve"> </w:t>
      </w:r>
      <w:r>
        <w:rPr>
          <w:lang w:val="en-US"/>
        </w:rPr>
        <w:t xml:space="preserve">scenarios </w:t>
      </w:r>
      <w:r w:rsidRPr="00B6568E">
        <w:rPr>
          <w:lang w:val="en-US"/>
        </w:rPr>
        <w:t xml:space="preserve">in Europe using a detailed representation of </w:t>
      </w:r>
      <w:r>
        <w:rPr>
          <w:lang w:val="en-US"/>
        </w:rPr>
        <w:t xml:space="preserve">generation as well as </w:t>
      </w:r>
      <w:r w:rsidRPr="00B6568E">
        <w:rPr>
          <w:lang w:val="en-US"/>
        </w:rPr>
        <w:t xml:space="preserve">multiple storage technologies </w:t>
      </w:r>
      <w:r>
        <w:rPr>
          <w:lang w:val="en-US"/>
        </w:rPr>
        <w:t xml:space="preserve">and </w:t>
      </w:r>
      <w:r w:rsidRPr="00B6568E">
        <w:rPr>
          <w:lang w:val="en-US"/>
        </w:rPr>
        <w:t xml:space="preserve">demand flexibility options in an electricity sector model for Europe. </w:t>
      </w:r>
      <w:r w:rsidR="00303D7A" w:rsidRPr="00B6568E">
        <w:rPr>
          <w:lang w:val="en-US"/>
        </w:rPr>
        <w:t>Furthermore,</w:t>
      </w:r>
      <w:r w:rsidRPr="00B6568E">
        <w:rPr>
          <w:lang w:val="en-US"/>
        </w:rPr>
        <w:t xml:space="preserve"> we take into account the total level of electricity demand, which depends on many influencing factors. We build upon the electricity sector model </w:t>
      </w:r>
      <w:r w:rsidR="00614D05">
        <w:rPr>
          <w:lang w:val="en-US"/>
        </w:rPr>
        <w:t>d</w:t>
      </w:r>
      <w:r w:rsidRPr="00B6568E">
        <w:rPr>
          <w:lang w:val="en-US"/>
        </w:rPr>
        <w:t>ynELMOD</w:t>
      </w:r>
      <w:r>
        <w:rPr>
          <w:lang w:val="en-US"/>
        </w:rPr>
        <w:t xml:space="preserve"> </w:t>
      </w:r>
      <w:r w:rsidRPr="00B6568E">
        <w:rPr>
          <w:lang w:val="en-US"/>
        </w:rPr>
        <w:t xml:space="preserve">that models the expansion of generation </w:t>
      </w:r>
      <w:r w:rsidRPr="001F0B9C">
        <w:rPr>
          <w:noProof/>
          <w:lang w:val="en-US"/>
        </w:rPr>
        <w:t>capacity</w:t>
      </w:r>
      <w:r w:rsidR="001F0B9C">
        <w:rPr>
          <w:noProof/>
          <w:lang w:val="en-US"/>
        </w:rPr>
        <w:t>, as well as grid expansion,</w:t>
      </w:r>
      <w:r w:rsidRPr="00B6568E">
        <w:rPr>
          <w:lang w:val="en-US"/>
        </w:rPr>
        <w:t xml:space="preserve"> need for all European countries in steps of five to ten years starting in 2015 until 2050. </w:t>
      </w:r>
      <w:r w:rsidRPr="001F0B9C">
        <w:rPr>
          <w:noProof/>
          <w:lang w:val="en-US"/>
        </w:rPr>
        <w:t>Given a set of boundary conditions such as</w:t>
      </w:r>
      <w:r w:rsidRPr="00B6568E">
        <w:rPr>
          <w:lang w:val="en-US"/>
        </w:rPr>
        <w:t xml:space="preserve"> yearly CO</w:t>
      </w:r>
      <w:r w:rsidRPr="00B6568E">
        <w:rPr>
          <w:vertAlign w:val="subscript"/>
          <w:lang w:val="en-US"/>
        </w:rPr>
        <w:t>2</w:t>
      </w:r>
      <w:r w:rsidRPr="00B6568E">
        <w:rPr>
          <w:lang w:val="en-US"/>
        </w:rPr>
        <w:t xml:space="preserve"> emission budgets, technological parameters and </w:t>
      </w:r>
      <w:r w:rsidRPr="001F0B9C">
        <w:rPr>
          <w:noProof/>
          <w:lang w:val="en-US"/>
        </w:rPr>
        <w:t>technical</w:t>
      </w:r>
      <w:r w:rsidRPr="00B6568E">
        <w:rPr>
          <w:lang w:val="en-US"/>
        </w:rPr>
        <w:t xml:space="preserve"> availability and cost assumptions the model determines the cost-minimal generation portfolio, cross-border transmission expansion as well as the underlying generation and storage disp</w:t>
      </w:r>
      <w:r w:rsidR="00C4747A">
        <w:rPr>
          <w:lang w:val="en-US"/>
        </w:rPr>
        <w:t>atch with an hourly resolution.</w:t>
      </w:r>
    </w:p>
    <w:p w:rsidR="00C4747A" w:rsidRDefault="00C4747A">
      <w:pPr>
        <w:jc w:val="both"/>
      </w:pPr>
    </w:p>
    <w:p w:rsidR="00CC3247" w:rsidRDefault="00CC3247">
      <w:pPr>
        <w:jc w:val="both"/>
        <w:rPr>
          <w:lang w:val="en-US"/>
        </w:rPr>
      </w:pPr>
      <w:r>
        <w:rPr>
          <w:lang w:val="en-US"/>
        </w:rPr>
        <w:t xml:space="preserve">We calculate the development of the European electricity system </w:t>
      </w:r>
      <w:r w:rsidR="00912DB1">
        <w:rPr>
          <w:lang w:val="en-US"/>
        </w:rPr>
        <w:t xml:space="preserve">with scenarios along two axes: </w:t>
      </w:r>
      <w:r w:rsidR="00912DB1" w:rsidRPr="001F0B9C">
        <w:rPr>
          <w:noProof/>
          <w:lang w:val="en-US"/>
        </w:rPr>
        <w:t>On axis</w:t>
      </w:r>
      <w:r w:rsidR="00912DB1">
        <w:rPr>
          <w:lang w:val="en-US"/>
        </w:rPr>
        <w:t xml:space="preserve"> one we vary the model foresight, whereas the second axis presents different boundary conditions such as electricity demand and the decarbonization target.</w:t>
      </w:r>
    </w:p>
    <w:p w:rsidR="00912DB1" w:rsidRPr="00C4747A" w:rsidRDefault="00912DB1">
      <w:pPr>
        <w:jc w:val="both"/>
        <w:rPr>
          <w:b/>
          <w:lang w:val="en-US"/>
        </w:rPr>
      </w:pPr>
      <w:r w:rsidRPr="00C4747A">
        <w:rPr>
          <w:b/>
          <w:lang w:val="en-US"/>
        </w:rPr>
        <w:t>Axis One: Foresight and CO</w:t>
      </w:r>
      <w:r w:rsidRPr="00C4747A">
        <w:rPr>
          <w:b/>
          <w:vertAlign w:val="subscript"/>
          <w:lang w:val="en-US"/>
        </w:rPr>
        <w:t>2</w:t>
      </w:r>
      <w:r w:rsidRPr="00C4747A">
        <w:rPr>
          <w:b/>
          <w:lang w:val="en-US"/>
        </w:rPr>
        <w:t>-Paths</w:t>
      </w:r>
    </w:p>
    <w:p w:rsidR="00CC3247" w:rsidRDefault="00CC3247" w:rsidP="00CC3247">
      <w:pPr>
        <w:numPr>
          <w:ilvl w:val="0"/>
          <w:numId w:val="3"/>
        </w:numPr>
        <w:jc w:val="both"/>
      </w:pPr>
      <w:r w:rsidRPr="006077D6">
        <w:rPr>
          <w:b/>
        </w:rPr>
        <w:t>Default Scenario</w:t>
      </w:r>
      <w:r w:rsidR="00912DB1">
        <w:t xml:space="preserve">: </w:t>
      </w:r>
      <w:r w:rsidR="00A70EA5" w:rsidRPr="00912DB1">
        <w:rPr>
          <w:lang w:val="en-US"/>
        </w:rPr>
        <w:t>The default scenario assumes perfect foresight over the entire horizon (2050). The central decision maker is facing a yearly CO</w:t>
      </w:r>
      <w:r w:rsidR="00A70EA5" w:rsidRPr="00912DB1">
        <w:rPr>
          <w:vertAlign w:val="subscript"/>
          <w:lang w:val="en-US"/>
        </w:rPr>
        <w:t>2</w:t>
      </w:r>
      <w:r w:rsidR="00A70EA5" w:rsidRPr="00912DB1">
        <w:rPr>
          <w:lang w:val="en-US"/>
        </w:rPr>
        <w:t xml:space="preserve"> </w:t>
      </w:r>
      <w:r w:rsidR="00FE4924" w:rsidRPr="00912DB1">
        <w:rPr>
          <w:lang w:val="en-US"/>
        </w:rPr>
        <w:t>constraint, which</w:t>
      </w:r>
      <w:r w:rsidR="00A70EA5" w:rsidRPr="00912DB1">
        <w:rPr>
          <w:lang w:val="en-US"/>
        </w:rPr>
        <w:t xml:space="preserve"> reduces </w:t>
      </w:r>
      <w:r w:rsidR="00A70EA5" w:rsidRPr="001F0B9C">
        <w:rPr>
          <w:noProof/>
          <w:lang w:val="en-US"/>
        </w:rPr>
        <w:t>CO</w:t>
      </w:r>
      <w:r w:rsidR="00A70EA5" w:rsidRPr="001F0B9C">
        <w:rPr>
          <w:noProof/>
          <w:vertAlign w:val="subscript"/>
          <w:lang w:val="en-US"/>
        </w:rPr>
        <w:t>2</w:t>
      </w:r>
      <w:r w:rsidR="00A70EA5" w:rsidRPr="001F0B9C">
        <w:rPr>
          <w:noProof/>
          <w:lang w:val="en-US"/>
        </w:rPr>
        <w:t xml:space="preserve"> emissions</w:t>
      </w:r>
      <w:r w:rsidR="00A70EA5" w:rsidRPr="00912DB1">
        <w:rPr>
          <w:lang w:val="en-US"/>
        </w:rPr>
        <w:t xml:space="preserve"> by 2050 to only 2% of the current level.</w:t>
      </w:r>
    </w:p>
    <w:p w:rsidR="00CC3247" w:rsidRDefault="00CC3247" w:rsidP="00CC3247">
      <w:pPr>
        <w:numPr>
          <w:ilvl w:val="0"/>
          <w:numId w:val="3"/>
        </w:numPr>
        <w:jc w:val="both"/>
      </w:pPr>
      <w:r w:rsidRPr="006077D6">
        <w:rPr>
          <w:b/>
        </w:rPr>
        <w:t>Reduced Foresight</w:t>
      </w:r>
      <w:r w:rsidR="00912DB1">
        <w:t xml:space="preserve">: </w:t>
      </w:r>
      <w:r w:rsidR="00FE4924" w:rsidRPr="00912DB1">
        <w:rPr>
          <w:lang w:val="en-US"/>
        </w:rPr>
        <w:t>B</w:t>
      </w:r>
      <w:r w:rsidR="00A70EA5" w:rsidRPr="00912DB1">
        <w:rPr>
          <w:lang w:val="en-US"/>
        </w:rPr>
        <w:t>y contrast, a reduced foresight scenario considers that the decisions makers are only aware of the CO</w:t>
      </w:r>
      <w:r w:rsidR="00A70EA5" w:rsidRPr="00912DB1">
        <w:rPr>
          <w:vertAlign w:val="subscript"/>
          <w:lang w:val="en-US"/>
        </w:rPr>
        <w:t>2</w:t>
      </w:r>
      <w:r w:rsidR="00A70EA5" w:rsidRPr="00912DB1">
        <w:rPr>
          <w:lang w:val="en-US"/>
        </w:rPr>
        <w:t xml:space="preserve"> target of the upcoming </w:t>
      </w:r>
      <w:r w:rsidR="00303D7A" w:rsidRPr="00912DB1">
        <w:rPr>
          <w:lang w:val="en-US"/>
        </w:rPr>
        <w:t>five-year</w:t>
      </w:r>
      <w:r w:rsidR="00A70EA5" w:rsidRPr="00912DB1">
        <w:rPr>
          <w:lang w:val="en-US"/>
        </w:rPr>
        <w:t xml:space="preserve"> period, and thus behave “myopically</w:t>
      </w:r>
      <w:r w:rsidR="001F0B9C">
        <w:rPr>
          <w:noProof/>
          <w:lang w:val="en-US"/>
        </w:rPr>
        <w:t>.”</w:t>
      </w:r>
      <w:r w:rsidR="00A70EA5" w:rsidRPr="00912DB1">
        <w:rPr>
          <w:lang w:val="en-US"/>
        </w:rPr>
        <w:t xml:space="preserve"> The interest of this scenario is to identify the danger of stranded investments resulting from such a short-term vision</w:t>
      </w:r>
    </w:p>
    <w:p w:rsidR="00CC3247" w:rsidRDefault="00CC3247" w:rsidP="00CC3247">
      <w:pPr>
        <w:numPr>
          <w:ilvl w:val="0"/>
          <w:numId w:val="3"/>
        </w:numPr>
        <w:jc w:val="both"/>
        <w:rPr>
          <w:lang w:val="en-US"/>
        </w:rPr>
      </w:pPr>
      <w:r w:rsidRPr="006077D6">
        <w:rPr>
          <w:b/>
        </w:rPr>
        <w:t>Emission Budget</w:t>
      </w:r>
      <w:r w:rsidR="00912DB1">
        <w:t xml:space="preserve">: </w:t>
      </w:r>
      <w:r w:rsidR="00FE4924" w:rsidRPr="00912DB1">
        <w:rPr>
          <w:lang w:val="en-US"/>
        </w:rPr>
        <w:t xml:space="preserve">This is </w:t>
      </w:r>
      <w:r w:rsidR="00A70EA5" w:rsidRPr="00912DB1">
        <w:rPr>
          <w:lang w:val="en-US"/>
        </w:rPr>
        <w:t>an alternative scenario to reflect a different CO</w:t>
      </w:r>
      <w:r w:rsidR="00A70EA5" w:rsidRPr="00912DB1">
        <w:rPr>
          <w:vertAlign w:val="subscript"/>
          <w:lang w:val="en-US"/>
        </w:rPr>
        <w:t>2</w:t>
      </w:r>
      <w:r w:rsidR="00A70EA5" w:rsidRPr="00912DB1">
        <w:rPr>
          <w:lang w:val="en-US"/>
        </w:rPr>
        <w:t xml:space="preserve"> allocation mechanism</w:t>
      </w:r>
      <w:r w:rsidR="00160E42" w:rsidRPr="00912DB1">
        <w:rPr>
          <w:lang w:val="en-US"/>
        </w:rPr>
        <w:t xml:space="preserve"> </w:t>
      </w:r>
      <w:r w:rsidR="00A70EA5" w:rsidRPr="00912DB1">
        <w:rPr>
          <w:lang w:val="en-US"/>
        </w:rPr>
        <w:t xml:space="preserve">implemented in the budget approach: decision makers receive an aggregate emission budget covering the entire period up to 2050 and then can use this budget at their </w:t>
      </w:r>
      <w:r w:rsidR="00A70EA5" w:rsidRPr="001F0B9C">
        <w:rPr>
          <w:noProof/>
          <w:lang w:val="en-US"/>
        </w:rPr>
        <w:t>own</w:t>
      </w:r>
      <w:r w:rsidR="00A70EA5" w:rsidRPr="00912DB1">
        <w:rPr>
          <w:lang w:val="en-US"/>
        </w:rPr>
        <w:t xml:space="preserve"> discretion over the </w:t>
      </w:r>
      <w:r w:rsidR="00A70EA5" w:rsidRPr="001F0B9C">
        <w:rPr>
          <w:noProof/>
          <w:lang w:val="en-US"/>
        </w:rPr>
        <w:t>period</w:t>
      </w:r>
      <w:r w:rsidR="00A70EA5" w:rsidRPr="00912DB1">
        <w:rPr>
          <w:lang w:val="en-US"/>
        </w:rPr>
        <w:t xml:space="preserve">. The budget approach has become popular among climate policymakers and academic researchers recently because it allows decision makers a higher degree of decision; in general, abatement decisions are taken earlier </w:t>
      </w:r>
      <w:r w:rsidR="00A70EA5" w:rsidRPr="001F0B9C">
        <w:rPr>
          <w:noProof/>
          <w:lang w:val="en-US"/>
        </w:rPr>
        <w:t>to</w:t>
      </w:r>
      <w:r w:rsidR="00A70EA5" w:rsidRPr="00912DB1">
        <w:rPr>
          <w:lang w:val="en-US"/>
        </w:rPr>
        <w:t xml:space="preserve"> “save” emission rights for the final years where abatement is expected to become very expensive</w:t>
      </w:r>
      <w:r w:rsidRPr="00912DB1">
        <w:rPr>
          <w:lang w:val="en-US"/>
        </w:rPr>
        <w:t>.</w:t>
      </w:r>
    </w:p>
    <w:p w:rsidR="00C4747A" w:rsidRDefault="00C4747A" w:rsidP="00C4747A">
      <w:pPr>
        <w:ind w:left="720"/>
        <w:jc w:val="both"/>
        <w:rPr>
          <w:lang w:val="en-US"/>
        </w:rPr>
      </w:pPr>
    </w:p>
    <w:p w:rsidR="00912DB1" w:rsidRPr="00C4747A" w:rsidRDefault="00912DB1" w:rsidP="00912DB1">
      <w:pPr>
        <w:jc w:val="both"/>
        <w:rPr>
          <w:b/>
          <w:lang w:val="en-US"/>
        </w:rPr>
      </w:pPr>
      <w:r w:rsidRPr="00C4747A">
        <w:rPr>
          <w:b/>
          <w:lang w:val="en-US"/>
        </w:rPr>
        <w:t>Axis Two: Boundary conditions</w:t>
      </w:r>
    </w:p>
    <w:p w:rsidR="00912DB1" w:rsidRDefault="006077D6" w:rsidP="00912DB1">
      <w:pPr>
        <w:numPr>
          <w:ilvl w:val="0"/>
          <w:numId w:val="5"/>
        </w:numPr>
        <w:jc w:val="both"/>
        <w:rPr>
          <w:lang w:val="en-US"/>
        </w:rPr>
      </w:pPr>
      <w:r w:rsidRPr="006077D6">
        <w:rPr>
          <w:b/>
          <w:lang w:val="en-US"/>
        </w:rPr>
        <w:t>“Demand shift”</w:t>
      </w:r>
      <w:r w:rsidR="00912DB1">
        <w:rPr>
          <w:lang w:val="en-US"/>
        </w:rPr>
        <w:t xml:space="preserve">: With increased “smartness” of the system and digitalization of the generation-demand interface, </w:t>
      </w:r>
      <w:r w:rsidR="00912DB1" w:rsidRPr="001F0B9C">
        <w:rPr>
          <w:noProof/>
          <w:lang w:val="en-US"/>
        </w:rPr>
        <w:t>flexible</w:t>
      </w:r>
      <w:r w:rsidR="00912DB1">
        <w:rPr>
          <w:lang w:val="en-US"/>
        </w:rPr>
        <w:t xml:space="preserve"> demand, or even temporary demand reduction (without compensation) may </w:t>
      </w:r>
      <w:r w:rsidR="00912DB1" w:rsidRPr="001F0B9C">
        <w:rPr>
          <w:noProof/>
          <w:lang w:val="en-US"/>
        </w:rPr>
        <w:t>play an important role in</w:t>
      </w:r>
      <w:r w:rsidR="00912DB1">
        <w:rPr>
          <w:lang w:val="en-US"/>
        </w:rPr>
        <w:t xml:space="preserve"> the future. Thus we design a scenario “demand shift” in which 15% of the peak load can </w:t>
      </w:r>
      <w:r w:rsidR="00912DB1" w:rsidRPr="001F0B9C">
        <w:rPr>
          <w:noProof/>
          <w:lang w:val="en-US"/>
        </w:rPr>
        <w:lastRenderedPageBreak/>
        <w:t>be shift</w:t>
      </w:r>
      <w:r w:rsidR="00A44FCD" w:rsidRPr="001F0B9C">
        <w:rPr>
          <w:noProof/>
          <w:lang w:val="en-US"/>
        </w:rPr>
        <w:t>ed</w:t>
      </w:r>
      <w:r>
        <w:rPr>
          <w:lang w:val="en-US"/>
        </w:rPr>
        <w:t xml:space="preserve"> at no cost. At the same time, the electricity demand increases linearly due to intensified sector coupling to </w:t>
      </w:r>
      <w:r w:rsidR="00E66C73">
        <w:rPr>
          <w:lang w:val="en-US"/>
        </w:rPr>
        <w:t>1.5 times</w:t>
      </w:r>
      <w:r>
        <w:rPr>
          <w:lang w:val="en-US"/>
        </w:rPr>
        <w:t xml:space="preserve"> the 2015 demand.</w:t>
      </w:r>
    </w:p>
    <w:p w:rsidR="006077D6" w:rsidRPr="006077D6" w:rsidRDefault="006077D6" w:rsidP="00912DB1">
      <w:pPr>
        <w:numPr>
          <w:ilvl w:val="0"/>
          <w:numId w:val="5"/>
        </w:numPr>
        <w:jc w:val="both"/>
        <w:rPr>
          <w:lang w:val="en-US"/>
        </w:rPr>
      </w:pPr>
      <w:r w:rsidRPr="006077D6">
        <w:rPr>
          <w:b/>
          <w:lang w:val="en-US"/>
        </w:rPr>
        <w:t>20%</w:t>
      </w:r>
      <w:r w:rsidRPr="006077D6">
        <w:rPr>
          <w:lang w:val="en-US"/>
        </w:rPr>
        <w:t xml:space="preserve">: </w:t>
      </w:r>
      <w:r>
        <w:rPr>
          <w:lang w:val="en-US"/>
        </w:rPr>
        <w:t>We also envision a less stringent CO</w:t>
      </w:r>
      <w:r w:rsidRPr="006077D6">
        <w:rPr>
          <w:vertAlign w:val="subscript"/>
          <w:lang w:val="en-US"/>
        </w:rPr>
        <w:t>2</w:t>
      </w:r>
      <w:r>
        <w:rPr>
          <w:lang w:val="en-US"/>
        </w:rPr>
        <w:t xml:space="preserve"> emission reduction path, called “20%”, which implies a reduction </w:t>
      </w:r>
      <w:r w:rsidRPr="001F0B9C">
        <w:rPr>
          <w:noProof/>
          <w:lang w:val="en-US"/>
        </w:rPr>
        <w:t>of CO</w:t>
      </w:r>
      <w:r w:rsidRPr="001F0B9C">
        <w:rPr>
          <w:noProof/>
          <w:vertAlign w:val="subscript"/>
          <w:lang w:val="en-US"/>
        </w:rPr>
        <w:t>2</w:t>
      </w:r>
      <w:r w:rsidRPr="001F0B9C">
        <w:rPr>
          <w:noProof/>
          <w:lang w:val="en-US"/>
        </w:rPr>
        <w:t xml:space="preserve"> emissions</w:t>
      </w:r>
      <w:r>
        <w:rPr>
          <w:lang w:val="en-US"/>
        </w:rPr>
        <w:t xml:space="preserve"> </w:t>
      </w:r>
      <w:r w:rsidR="00F20E43">
        <w:rPr>
          <w:lang w:val="en-US"/>
        </w:rPr>
        <w:t>of 80</w:t>
      </w:r>
      <w:r>
        <w:rPr>
          <w:lang w:val="en-US"/>
        </w:rPr>
        <w:t>% to 2050, and to set off this reduction process linearly starting in 2020.</w:t>
      </w:r>
    </w:p>
    <w:p w:rsidR="00171181" w:rsidRDefault="00171181">
      <w:pPr>
        <w:pStyle w:val="berschrift2"/>
        <w:rPr>
          <w:i w:val="0"/>
          <w:sz w:val="24"/>
          <w:szCs w:val="24"/>
        </w:rPr>
      </w:pPr>
      <w:r>
        <w:rPr>
          <w:i w:val="0"/>
          <w:sz w:val="24"/>
          <w:szCs w:val="24"/>
        </w:rPr>
        <w:t>Results</w:t>
      </w:r>
    </w:p>
    <w:p w:rsidR="006077D6" w:rsidRPr="00F20E43" w:rsidRDefault="006077D6" w:rsidP="00A44FCD">
      <w:pPr>
        <w:jc w:val="both"/>
        <w:rPr>
          <w:lang w:val="en-US"/>
        </w:rPr>
      </w:pPr>
      <w:r>
        <w:t xml:space="preserve">Our </w:t>
      </w:r>
      <w:r w:rsidR="008E3F00">
        <w:t xml:space="preserve">results </w:t>
      </w:r>
      <w:r w:rsidR="008E3F00" w:rsidRPr="001F0B9C">
        <w:rPr>
          <w:noProof/>
        </w:rPr>
        <w:t>show,</w:t>
      </w:r>
      <w:r w:rsidR="008E3F00">
        <w:t xml:space="preserve"> that regardless of</w:t>
      </w:r>
      <w:r w:rsidR="001F0B9C">
        <w:t xml:space="preserve"> the</w:t>
      </w:r>
      <w:r w:rsidR="008E3F00">
        <w:t xml:space="preserve"> </w:t>
      </w:r>
      <w:r w:rsidR="008E3F00" w:rsidRPr="001F0B9C">
        <w:rPr>
          <w:noProof/>
        </w:rPr>
        <w:t>scenario</w:t>
      </w:r>
      <w:r w:rsidR="008E3F00">
        <w:t xml:space="preserve"> </w:t>
      </w:r>
      <w:r w:rsidR="00533C39">
        <w:t>neither</w:t>
      </w:r>
      <w:r w:rsidR="008E3F00">
        <w:t xml:space="preserve"> new nuclear power </w:t>
      </w:r>
      <w:r w:rsidR="008E3F00" w:rsidRPr="001F0B9C">
        <w:rPr>
          <w:noProof/>
        </w:rPr>
        <w:t>plants</w:t>
      </w:r>
      <w:r w:rsidR="008E3F00">
        <w:t xml:space="preserve"> nor large-scale CCTS infrastructure is built by the model. Only Biomass CCTS emerges in </w:t>
      </w:r>
      <w:r w:rsidR="008E3F00" w:rsidRPr="00614D05">
        <w:rPr>
          <w:lang w:val="en-US"/>
        </w:rPr>
        <w:t>small</w:t>
      </w:r>
      <w:r w:rsidR="008E3F00">
        <w:t xml:space="preserve"> quantities in the 2040ies.</w:t>
      </w:r>
      <w:r w:rsidR="00614D05">
        <w:t xml:space="preserve"> </w:t>
      </w:r>
      <w:r>
        <w:rPr>
          <w:lang w:val="en-US"/>
        </w:rPr>
        <w:t xml:space="preserve">The largest share of the abatement is carried by renewable sources, </w:t>
      </w:r>
      <w:r w:rsidRPr="001F0B9C">
        <w:rPr>
          <w:noProof/>
          <w:lang w:val="en-US"/>
        </w:rPr>
        <w:t>wind</w:t>
      </w:r>
      <w:r>
        <w:rPr>
          <w:lang w:val="en-US"/>
        </w:rPr>
        <w:t xml:space="preserve"> (onshore and offshore) and solar photovoltaics. In the “competition” between the renewables, </w:t>
      </w:r>
      <w:r w:rsidRPr="001F0B9C">
        <w:rPr>
          <w:noProof/>
          <w:lang w:val="en-US"/>
        </w:rPr>
        <w:t>wind</w:t>
      </w:r>
      <w:r>
        <w:rPr>
          <w:lang w:val="en-US"/>
        </w:rPr>
        <w:t xml:space="preserve"> clearly dominates, obtaining a share of over 60%; in 2050</w:t>
      </w:r>
      <w:r w:rsidR="00F20E43">
        <w:rPr>
          <w:lang w:val="en-US"/>
        </w:rPr>
        <w:t xml:space="preserve"> </w:t>
      </w:r>
      <w:r w:rsidR="00F20E43" w:rsidRPr="001F0B9C">
        <w:rPr>
          <w:noProof/>
          <w:lang w:val="en-US"/>
        </w:rPr>
        <w:t>to</w:t>
      </w:r>
      <w:r w:rsidR="00F20E43">
        <w:rPr>
          <w:lang w:val="en-US"/>
        </w:rPr>
        <w:t xml:space="preserve"> accommodate the fluctuation of the intermittent renewables, a total of 300 GW of storage capacities </w:t>
      </w:r>
      <w:r w:rsidR="00F20E43" w:rsidRPr="001F0B9C">
        <w:rPr>
          <w:noProof/>
          <w:lang w:val="en-US"/>
        </w:rPr>
        <w:t>are built</w:t>
      </w:r>
      <w:r w:rsidR="00F20E43">
        <w:rPr>
          <w:lang w:val="en-US"/>
        </w:rPr>
        <w:t>, mainly towards the latter half of the period. New pumped storage capacities are negligible, so the battery storage obtains almost all investments. Demand side management (DSM), although fully implemented in the model, only plays a marginal role.</w:t>
      </w:r>
    </w:p>
    <w:p w:rsidR="00CC3247" w:rsidRDefault="00CC3247" w:rsidP="00A44FCD">
      <w:pPr>
        <w:jc w:val="both"/>
      </w:pPr>
      <w:r>
        <w:t>Comparing the Default scenario and reduced foresight scenario, preliminary results show that the Default scenario has b</w:t>
      </w:r>
      <w:r w:rsidRPr="00CC3247">
        <w:t>etter overall planning than with reduced foresight</w:t>
      </w:r>
      <w:r>
        <w:t xml:space="preserve">. </w:t>
      </w:r>
      <w:r w:rsidR="00F20E43">
        <w:rPr>
          <w:lang w:val="en-US"/>
        </w:rPr>
        <w:t>Large quantities of “stranded” investments would occur with reduced foresight, e.g. in Germany (10 GW of natural gas) and Switzerland (4 GW of natural gas).</w:t>
      </w:r>
      <w:r>
        <w:rPr>
          <w:lang w:val="en-US"/>
        </w:rPr>
        <w:t xml:space="preserve"> The </w:t>
      </w:r>
      <w:r>
        <w:t>g</w:t>
      </w:r>
      <w:r w:rsidRPr="00CC3247">
        <w:t xml:space="preserve">rid investments </w:t>
      </w:r>
      <w:r w:rsidR="008E3F00">
        <w:t xml:space="preserve">and </w:t>
      </w:r>
      <w:r w:rsidRPr="00CC3247">
        <w:t>generation costs</w:t>
      </w:r>
      <w:r w:rsidR="000B2535">
        <w:t xml:space="preserve"> are slightly higher in the default scenario, but overall cost reduction </w:t>
      </w:r>
      <w:r w:rsidR="000B2535" w:rsidRPr="001F0B9C">
        <w:rPr>
          <w:noProof/>
        </w:rPr>
        <w:t>is still achieved</w:t>
      </w:r>
      <w:r w:rsidR="000B2535">
        <w:t>.</w:t>
      </w:r>
      <w:r w:rsidRPr="00CC3247">
        <w:t xml:space="preserve"> </w:t>
      </w:r>
    </w:p>
    <w:p w:rsidR="008E3F00" w:rsidRDefault="00144208" w:rsidP="00A44FCD">
      <w:pPr>
        <w:jc w:val="both"/>
        <w:rPr>
          <w:lang w:val="en-US"/>
        </w:rPr>
      </w:pPr>
      <w:r>
        <w:rPr>
          <w:noProof/>
          <w:lang w:val="de-DE" w:eastAsia="de-DE"/>
        </w:rPr>
        <mc:AlternateContent>
          <mc:Choice Requires="wps">
            <w:drawing>
              <wp:anchor distT="45720" distB="45720" distL="114300" distR="114300" simplePos="0" relativeHeight="251662848" behindDoc="0" locked="0" layoutInCell="1" allowOverlap="1" wp14:anchorId="73F9F26E" wp14:editId="56D66138">
                <wp:simplePos x="0" y="0"/>
                <wp:positionH relativeFrom="margin">
                  <wp:align>right</wp:align>
                </wp:positionH>
                <wp:positionV relativeFrom="paragraph">
                  <wp:posOffset>95072</wp:posOffset>
                </wp:positionV>
                <wp:extent cx="3115310" cy="1404620"/>
                <wp:effectExtent l="0" t="0" r="889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noFill/>
                          <a:miter lim="800000"/>
                          <a:headEnd/>
                          <a:tailEnd/>
                        </a:ln>
                      </wps:spPr>
                      <wps:txbx>
                        <w:txbxContent>
                          <w:p w:rsidR="00144208" w:rsidRPr="00144208" w:rsidRDefault="00144208">
                            <w:pPr>
                              <w:rPr>
                                <w:b/>
                                <w:i/>
                              </w:rPr>
                            </w:pPr>
                            <w:r>
                              <w:rPr>
                                <w:b/>
                              </w:rPr>
                              <w:t>Figure</w:t>
                            </w:r>
                            <w:r w:rsidRPr="00144208">
                              <w:rPr>
                                <w:b/>
                              </w:rPr>
                              <w:t xml:space="preserve"> 1: Installed capacity </w:t>
                            </w:r>
                            <w:r>
                              <w:rPr>
                                <w:b/>
                              </w:rPr>
                              <w:t>in Europe</w:t>
                            </w:r>
                            <w:r w:rsidRPr="00144208">
                              <w:rPr>
                                <w:b/>
                              </w:rPr>
                              <w:t xml:space="preserve"> in the standard scenario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94.1pt;margin-top:7.5pt;width:245.3pt;height:110.6pt;z-index:2516628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tuJAIAACU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" stroked="f">
                <v:textbox style="mso-fit-shape-to-text:t">
                  <w:txbxContent>
                    <w:p w:rsidR="00144208" w:rsidRPr="00144208" w:rsidRDefault="00144208">
                      <w:pPr>
                        <w:rPr>
                          <w:b/>
                          <w:i/>
                        </w:rPr>
                      </w:pPr>
                      <w:r>
                        <w:rPr>
                          <w:b/>
                        </w:rPr>
                        <w:t>Figure</w:t>
                      </w:r>
                      <w:r w:rsidRPr="00144208">
                        <w:rPr>
                          <w:b/>
                        </w:rPr>
                        <w:t xml:space="preserve"> 1: Installed capacity </w:t>
                      </w:r>
                      <w:r>
                        <w:rPr>
                          <w:b/>
                        </w:rPr>
                        <w:t>in Europe</w:t>
                      </w:r>
                      <w:r w:rsidRPr="00144208">
                        <w:rPr>
                          <w:b/>
                        </w:rPr>
                        <w:t xml:space="preserve"> in the standard scenario</w:t>
                      </w:r>
                    </w:p>
                  </w:txbxContent>
                </v:textbox>
                <w10:wrap type="square" anchorx="margin"/>
              </v:shape>
            </w:pict>
          </mc:Fallback>
        </mc:AlternateContent>
      </w:r>
      <w:r w:rsidR="00811749">
        <w:rPr>
          <w:noProof/>
          <w:lang w:val="de-DE" w:eastAsia="de-DE"/>
        </w:rPr>
        <w:drawing>
          <wp:anchor distT="0" distB="0" distL="114300" distR="114300" simplePos="0" relativeHeight="251659776" behindDoc="1" locked="0" layoutInCell="1" allowOverlap="1" wp14:anchorId="20061E23" wp14:editId="25BEEF45">
            <wp:simplePos x="0" y="0"/>
            <wp:positionH relativeFrom="margin">
              <wp:align>right</wp:align>
            </wp:positionH>
            <wp:positionV relativeFrom="paragraph">
              <wp:posOffset>328930</wp:posOffset>
            </wp:positionV>
            <wp:extent cx="3102610" cy="1782445"/>
            <wp:effectExtent l="0" t="0" r="2540" b="8255"/>
            <wp:wrapTight wrapText="bothSides">
              <wp:wrapPolygon edited="0">
                <wp:start x="0" y="0"/>
                <wp:lineTo x="0" y="21469"/>
                <wp:lineTo x="21485" y="21469"/>
                <wp:lineTo x="2148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2610" cy="1782445"/>
                    </a:xfrm>
                    <a:prstGeom prst="rect">
                      <a:avLst/>
                    </a:prstGeom>
                    <a:noFill/>
                  </pic:spPr>
                </pic:pic>
              </a:graphicData>
            </a:graphic>
          </wp:anchor>
        </w:drawing>
      </w:r>
      <w:r w:rsidR="008E3F00">
        <w:t>The budgetary approach shows</w:t>
      </w:r>
      <w:r w:rsidR="00D907E5">
        <w:t xml:space="preserve"> the lowest overall system cost. Here,</w:t>
      </w:r>
      <w:r w:rsidR="008E3F00">
        <w:t xml:space="preserve"> earlier</w:t>
      </w:r>
      <w:r w:rsidR="008E3F00" w:rsidRPr="008E3F00">
        <w:t xml:space="preserve"> decarbonization </w:t>
      </w:r>
      <w:r w:rsidR="008E3F00">
        <w:t xml:space="preserve">than in the other scenarios </w:t>
      </w:r>
      <w:r w:rsidR="008E3F00" w:rsidRPr="008E3F00">
        <w:t>until 2030</w:t>
      </w:r>
      <w:r w:rsidR="00D907E5" w:rsidRPr="00D907E5">
        <w:t xml:space="preserve"> </w:t>
      </w:r>
      <w:r w:rsidR="00D907E5">
        <w:t>can be seen</w:t>
      </w:r>
      <w:r w:rsidR="008E3F00" w:rsidRPr="008E3F00">
        <w:t>, then “</w:t>
      </w:r>
      <w:r w:rsidR="00F20E43" w:rsidRPr="008E3F00">
        <w:t>plateauing</w:t>
      </w:r>
      <w:r w:rsidR="008E3F00" w:rsidRPr="008E3F00">
        <w:t>” of emissions</w:t>
      </w:r>
      <w:r w:rsidR="008E3F00">
        <w:t xml:space="preserve"> with</w:t>
      </w:r>
      <w:r w:rsidR="008E3F00" w:rsidRPr="008E3F00">
        <w:t xml:space="preserve"> further reduction directly before 2050</w:t>
      </w:r>
      <w:r w:rsidR="008E3F00">
        <w:t xml:space="preserve">. </w:t>
      </w:r>
      <w:r w:rsidR="00F20E43">
        <w:rPr>
          <w:lang w:val="en-US"/>
        </w:rPr>
        <w:t xml:space="preserve">One interpretation of this result is that the new degrees of freedom </w:t>
      </w:r>
      <w:r w:rsidR="00F20E43" w:rsidRPr="001F0B9C">
        <w:rPr>
          <w:noProof/>
          <w:lang w:val="en-US"/>
        </w:rPr>
        <w:t>in</w:t>
      </w:r>
      <w:r w:rsidR="001F0B9C">
        <w:rPr>
          <w:noProof/>
          <w:lang w:val="en-US"/>
        </w:rPr>
        <w:t>v</w:t>
      </w:r>
      <w:r w:rsidR="00F20E43" w:rsidRPr="001F0B9C">
        <w:rPr>
          <w:noProof/>
          <w:lang w:val="en-US"/>
        </w:rPr>
        <w:t>ite</w:t>
      </w:r>
      <w:r w:rsidR="00F20E43">
        <w:rPr>
          <w:lang w:val="en-US"/>
        </w:rPr>
        <w:t xml:space="preserve"> the decision maker to use “low hanging fruits” of abatement earlier, mainly by reducing coal electrification. This strategy allows some emissions, </w:t>
      </w:r>
      <w:r w:rsidR="001F0B9C">
        <w:rPr>
          <w:noProof/>
          <w:lang w:val="en-US"/>
        </w:rPr>
        <w:t>primari</w:t>
      </w:r>
      <w:r w:rsidR="00F20E43" w:rsidRPr="001F0B9C">
        <w:rPr>
          <w:noProof/>
          <w:lang w:val="en-US"/>
        </w:rPr>
        <w:t>ly</w:t>
      </w:r>
      <w:r w:rsidR="00F20E43">
        <w:rPr>
          <w:lang w:val="en-US"/>
        </w:rPr>
        <w:t xml:space="preserve"> </w:t>
      </w:r>
      <w:r w:rsidR="001F0B9C">
        <w:rPr>
          <w:noProof/>
          <w:lang w:val="en-US"/>
        </w:rPr>
        <w:t>from</w:t>
      </w:r>
      <w:r w:rsidR="00F20E43">
        <w:rPr>
          <w:lang w:val="en-US"/>
        </w:rPr>
        <w:t xml:space="preserve"> natural gas plants, towards the end of the period under consideration.</w:t>
      </w:r>
    </w:p>
    <w:p w:rsidR="006077D6" w:rsidRDefault="00144208" w:rsidP="00A44FCD">
      <w:pPr>
        <w:jc w:val="both"/>
      </w:pPr>
      <w:r>
        <w:rPr>
          <w:noProof/>
          <w:lang w:val="de-DE" w:eastAsia="de-DE"/>
        </w:rPr>
        <mc:AlternateContent>
          <mc:Choice Requires="wps">
            <w:drawing>
              <wp:anchor distT="45720" distB="45720" distL="114300" distR="114300" simplePos="0" relativeHeight="251664896" behindDoc="0" locked="0" layoutInCell="1" allowOverlap="1" wp14:anchorId="37352909" wp14:editId="0D7411F8">
                <wp:simplePos x="0" y="0"/>
                <wp:positionH relativeFrom="margin">
                  <wp:align>right</wp:align>
                </wp:positionH>
                <wp:positionV relativeFrom="paragraph">
                  <wp:posOffset>507203</wp:posOffset>
                </wp:positionV>
                <wp:extent cx="3115310" cy="1404620"/>
                <wp:effectExtent l="0" t="0" r="8890" b="762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noFill/>
                          <a:miter lim="800000"/>
                          <a:headEnd/>
                          <a:tailEnd/>
                        </a:ln>
                      </wps:spPr>
                      <wps:txbx>
                        <w:txbxContent>
                          <w:p w:rsidR="00144208" w:rsidRPr="00144208" w:rsidRDefault="00144208" w:rsidP="00144208">
                            <w:pPr>
                              <w:rPr>
                                <w:b/>
                                <w:i/>
                              </w:rPr>
                            </w:pPr>
                            <w:r w:rsidRPr="00144208">
                              <w:rPr>
                                <w:b/>
                              </w:rPr>
                              <w:t>Figure</w:t>
                            </w:r>
                            <w:r>
                              <w:rPr>
                                <w:b/>
                              </w:rPr>
                              <w:t xml:space="preserve"> </w:t>
                            </w:r>
                            <w:r w:rsidRPr="00144208">
                              <w:rPr>
                                <w:b/>
                              </w:rPr>
                              <w:t xml:space="preserve">2: </w:t>
                            </w:r>
                            <w:r>
                              <w:rPr>
                                <w:b/>
                              </w:rPr>
                              <w:t>E</w:t>
                            </w:r>
                            <w:r w:rsidRPr="00144208">
                              <w:rPr>
                                <w:b/>
                              </w:rPr>
                              <w:t xml:space="preserve">lectricity generation </w:t>
                            </w:r>
                            <w:r>
                              <w:rPr>
                                <w:b/>
                              </w:rPr>
                              <w:t xml:space="preserve">in Europe </w:t>
                            </w:r>
                            <w:r w:rsidRPr="00144208">
                              <w:rPr>
                                <w:b/>
                              </w:rPr>
                              <w:t>in the standard scenario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94.1pt;margin-top:39.95pt;width:245.3pt;height:110.6pt;z-index:251664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" stroked="f">
                <v:textbox style="mso-fit-shape-to-text:t">
                  <w:txbxContent>
                    <w:p w:rsidR="00144208" w:rsidRPr="00144208" w:rsidRDefault="00144208" w:rsidP="00144208">
                      <w:pPr>
                        <w:rPr>
                          <w:b/>
                          <w:i/>
                        </w:rPr>
                      </w:pPr>
                      <w:r w:rsidRPr="00144208">
                        <w:rPr>
                          <w:b/>
                        </w:rPr>
                        <w:t>Figure</w:t>
                      </w:r>
                      <w:r>
                        <w:rPr>
                          <w:b/>
                        </w:rPr>
                        <w:t xml:space="preserve"> </w:t>
                      </w:r>
                      <w:r w:rsidRPr="00144208">
                        <w:rPr>
                          <w:b/>
                        </w:rPr>
                        <w:t xml:space="preserve">2: </w:t>
                      </w:r>
                      <w:r>
                        <w:rPr>
                          <w:b/>
                        </w:rPr>
                        <w:t>E</w:t>
                      </w:r>
                      <w:r w:rsidRPr="00144208">
                        <w:rPr>
                          <w:b/>
                        </w:rPr>
                        <w:t xml:space="preserve">lectricity generation </w:t>
                      </w:r>
                      <w:r>
                        <w:rPr>
                          <w:b/>
                        </w:rPr>
                        <w:t xml:space="preserve">in Europe </w:t>
                      </w:r>
                      <w:r w:rsidRPr="00144208">
                        <w:rPr>
                          <w:b/>
                        </w:rPr>
                        <w:t>in the standard scenario</w:t>
                      </w:r>
                    </w:p>
                  </w:txbxContent>
                </v:textbox>
                <w10:wrap type="square" anchorx="margin"/>
              </v:shape>
            </w:pict>
          </mc:Fallback>
        </mc:AlternateContent>
      </w:r>
      <w:r w:rsidR="00811749">
        <w:rPr>
          <w:i/>
          <w:noProof/>
          <w:sz w:val="24"/>
          <w:szCs w:val="24"/>
          <w:lang w:val="de-DE" w:eastAsia="de-DE"/>
        </w:rPr>
        <w:drawing>
          <wp:anchor distT="0" distB="0" distL="114300" distR="114300" simplePos="0" relativeHeight="251660800" behindDoc="1" locked="0" layoutInCell="1" allowOverlap="1" wp14:anchorId="335CAEC1" wp14:editId="05A8F271">
            <wp:simplePos x="0" y="0"/>
            <wp:positionH relativeFrom="margin">
              <wp:align>right</wp:align>
            </wp:positionH>
            <wp:positionV relativeFrom="paragraph">
              <wp:posOffset>915286</wp:posOffset>
            </wp:positionV>
            <wp:extent cx="3144520" cy="1806575"/>
            <wp:effectExtent l="0" t="0" r="0" b="3175"/>
            <wp:wrapTight wrapText="bothSides">
              <wp:wrapPolygon edited="0">
                <wp:start x="0" y="0"/>
                <wp:lineTo x="0" y="21410"/>
                <wp:lineTo x="21460" y="21410"/>
                <wp:lineTo x="2146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520" cy="1806575"/>
                    </a:xfrm>
                    <a:prstGeom prst="rect">
                      <a:avLst/>
                    </a:prstGeom>
                    <a:noFill/>
                  </pic:spPr>
                </pic:pic>
              </a:graphicData>
            </a:graphic>
            <wp14:sizeRelH relativeFrom="margin">
              <wp14:pctWidth>0</wp14:pctWidth>
            </wp14:sizeRelH>
            <wp14:sizeRelV relativeFrom="margin">
              <wp14:pctHeight>0</wp14:pctHeight>
            </wp14:sizeRelV>
          </wp:anchor>
        </w:drawing>
      </w:r>
      <w:r w:rsidR="00F20E43">
        <w:rPr>
          <w:lang w:val="en-US"/>
        </w:rPr>
        <w:t>The demand shift scenario leads to significantly more investments in generation capacities and storage until, 2050 but remains tractable; varying the CO</w:t>
      </w:r>
      <w:r w:rsidR="00F20E43" w:rsidRPr="00F20E43">
        <w:rPr>
          <w:vertAlign w:val="subscript"/>
          <w:lang w:val="en-US"/>
        </w:rPr>
        <w:t>2</w:t>
      </w:r>
      <w:r w:rsidR="00F20E43">
        <w:rPr>
          <w:lang w:val="en-US"/>
        </w:rPr>
        <w:t xml:space="preserve"> emission path shows that under the cost assumptions given, renewables still play the major role in the future electricity system, as they are cost-competitive in the future.</w:t>
      </w:r>
    </w:p>
    <w:p w:rsidR="00F20E43" w:rsidRDefault="00F20E43" w:rsidP="00F20E43">
      <w:pPr>
        <w:pStyle w:val="berschrift2"/>
        <w:rPr>
          <w:i w:val="0"/>
          <w:sz w:val="24"/>
          <w:szCs w:val="24"/>
        </w:rPr>
      </w:pPr>
      <w:r w:rsidRPr="00F20E43">
        <w:rPr>
          <w:i w:val="0"/>
          <w:sz w:val="24"/>
          <w:szCs w:val="24"/>
        </w:rPr>
        <w:t>Conclusion</w:t>
      </w:r>
    </w:p>
    <w:p w:rsidR="00171181" w:rsidRDefault="00F20E43" w:rsidP="00A44FCD">
      <w:pPr>
        <w:jc w:val="both"/>
        <w:rPr>
          <w:lang w:val="en-US"/>
        </w:rPr>
      </w:pPr>
      <w:r>
        <w:rPr>
          <w:lang w:val="en-US"/>
        </w:rPr>
        <w:t>We find that in a default reference scenario, renewables carry the major burden of decarbonization, while nuclear and carbon capture</w:t>
      </w:r>
      <w:r w:rsidR="00144208">
        <w:rPr>
          <w:lang w:val="en-US"/>
        </w:rPr>
        <w:t xml:space="preserve"> technologies</w:t>
      </w:r>
      <w:r>
        <w:rPr>
          <w:lang w:val="en-US"/>
        </w:rPr>
        <w:t xml:space="preserve"> appear to be too expensive. Incorporating the climate targets makes the investment into any additional conventional capacity uneconomic from 2025 onwards, resulting in a coal and phase-out in the 2040s. Limited foresight is resulting in stranded investments of fossil </w:t>
      </w:r>
      <w:r w:rsidRPr="001F0B9C">
        <w:rPr>
          <w:noProof/>
          <w:lang w:val="en-US"/>
        </w:rPr>
        <w:t>capacities</w:t>
      </w:r>
      <w:r>
        <w:rPr>
          <w:lang w:val="en-US"/>
        </w:rPr>
        <w:t xml:space="preserve"> in the 2020s. Using a CO</w:t>
      </w:r>
      <w:r w:rsidRPr="00436AFC">
        <w:rPr>
          <w:vertAlign w:val="subscript"/>
          <w:lang w:val="en-US"/>
        </w:rPr>
        <w:t>2</w:t>
      </w:r>
      <w:r>
        <w:rPr>
          <w:lang w:val="en-US"/>
        </w:rPr>
        <w:t xml:space="preserve"> budgetary approach, on the other hand, leads to an even sharper emission reduction in the early periods before 2030, reducing overall costs.</w:t>
      </w:r>
    </w:p>
    <w:p w:rsidR="00985383" w:rsidRPr="00F20E43" w:rsidRDefault="00985383" w:rsidP="00F20E43"/>
    <w:p w:rsidR="00F20E43" w:rsidRPr="00F20E43" w:rsidRDefault="00F20E43" w:rsidP="00F20E43">
      <w:pPr>
        <w:rPr>
          <w:rFonts w:ascii="Arial" w:hAnsi="Arial" w:cs="Arial"/>
          <w:b/>
          <w:sz w:val="24"/>
          <w:szCs w:val="24"/>
        </w:rPr>
      </w:pPr>
      <w:r w:rsidRPr="00F20E43">
        <w:rPr>
          <w:rFonts w:ascii="Arial" w:hAnsi="Arial" w:cs="Arial"/>
          <w:b/>
          <w:sz w:val="24"/>
          <w:szCs w:val="24"/>
        </w:rPr>
        <w:t>References</w:t>
      </w:r>
    </w:p>
    <w:p w:rsidR="00F20E43" w:rsidRPr="00F20E43" w:rsidRDefault="00F20E43" w:rsidP="00F20E43">
      <w:pPr>
        <w:rPr>
          <w:lang w:val="en-US"/>
        </w:rPr>
      </w:pPr>
      <w:r w:rsidRPr="00F20E43">
        <w:rPr>
          <w:lang w:val="en-US"/>
        </w:rPr>
        <w:t xml:space="preserve">EC (2011). A Roadmap for moving to a competitive </w:t>
      </w:r>
      <w:r w:rsidRPr="001F0B9C">
        <w:rPr>
          <w:noProof/>
          <w:lang w:val="en-US"/>
        </w:rPr>
        <w:t>low</w:t>
      </w:r>
      <w:r w:rsidR="001F0B9C">
        <w:rPr>
          <w:noProof/>
          <w:lang w:val="en-US"/>
        </w:rPr>
        <w:t>-</w:t>
      </w:r>
      <w:r w:rsidRPr="001F0B9C">
        <w:rPr>
          <w:noProof/>
          <w:lang w:val="en-US"/>
        </w:rPr>
        <w:t>carbon</w:t>
      </w:r>
      <w:r w:rsidRPr="00F20E43">
        <w:rPr>
          <w:lang w:val="en-US"/>
        </w:rPr>
        <w:t xml:space="preserve"> economy in 2050.</w:t>
      </w:r>
    </w:p>
    <w:p w:rsidR="00F20E43" w:rsidRPr="00F20E43" w:rsidRDefault="00F20E43" w:rsidP="00F20E43">
      <w:pPr>
        <w:rPr>
          <w:lang w:val="en-US"/>
        </w:rPr>
      </w:pPr>
      <w:r w:rsidRPr="00F20E43">
        <w:rPr>
          <w:lang w:val="en-US"/>
        </w:rPr>
        <w:t>EC (2013). EU Energy, Transport and GHG Emissions Trends to 2050: Reference Scenario 2013. Brussels, Belgium.</w:t>
      </w:r>
    </w:p>
    <w:p w:rsidR="00F20E43" w:rsidRDefault="00F20E43" w:rsidP="00F20E43">
      <w:pPr>
        <w:rPr>
          <w:lang w:val="en-US"/>
        </w:rPr>
      </w:pPr>
      <w:r w:rsidRPr="00F20E43">
        <w:rPr>
          <w:lang w:val="en-US"/>
        </w:rPr>
        <w:t>EC (2016). EU Reference Scenario 2016: Energy, transport and GHG emissions – Trends to 2050. Brussels, Belgium.</w:t>
      </w:r>
    </w:p>
    <w:p w:rsidR="006077D6" w:rsidRPr="0007125A" w:rsidRDefault="00985383" w:rsidP="006077D6">
      <w:pPr>
        <w:rPr>
          <w:lang w:val="en-US"/>
        </w:rPr>
      </w:pPr>
      <w:r>
        <w:rPr>
          <w:lang w:val="en-US"/>
        </w:rPr>
        <w:t>Gerbaulet, C., C. Lorenz (2017</w:t>
      </w:r>
      <w:r w:rsidR="00F20E43" w:rsidRPr="0007125A">
        <w:rPr>
          <w:lang w:val="en-US"/>
        </w:rPr>
        <w:t xml:space="preserve">) </w:t>
      </w:r>
      <w:r w:rsidR="00144208" w:rsidRPr="00144208">
        <w:rPr>
          <w:lang w:val="en-US"/>
        </w:rPr>
        <w:t>dynELMOD: A Dynamic Investment and Dispatch Model for the Future European Electricity Market</w:t>
      </w:r>
      <w:r w:rsidR="0007125A" w:rsidRPr="0007125A">
        <w:rPr>
          <w:lang w:val="en-US"/>
        </w:rPr>
        <w:t xml:space="preserve">. </w:t>
      </w:r>
      <w:r w:rsidR="0007125A">
        <w:rPr>
          <w:lang w:val="en-US"/>
        </w:rPr>
        <w:t>DIW Berlin Data Documentation (in print). Berlin, Germany.</w:t>
      </w:r>
    </w:p>
    <w:sectPr w:rsidR="006077D6" w:rsidRPr="0007125A">
      <w:headerReference w:type="first" r:id="rId10"/>
      <w:pgSz w:w="12240" w:h="15840"/>
      <w:pgMar w:top="776"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27" w:rsidRDefault="00C15627">
      <w:r>
        <w:separator/>
      </w:r>
    </w:p>
  </w:endnote>
  <w:endnote w:type="continuationSeparator" w:id="0">
    <w:p w:rsidR="00C15627" w:rsidRDefault="00C1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hit Devanagari">
    <w:altName w:val="Times New Roman"/>
    <w:charset w:val="01"/>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27" w:rsidRDefault="00C15627">
      <w:r>
        <w:separator/>
      </w:r>
    </w:p>
  </w:footnote>
  <w:footnote w:type="continuationSeparator" w:id="0">
    <w:p w:rsidR="00C15627" w:rsidRDefault="00C1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81" w:rsidRDefault="0017118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3"/>
    <w:lvl w:ilvl="0">
      <w:start w:val="1"/>
      <w:numFmt w:val="decimal"/>
      <w:pStyle w:val="References"/>
      <w:lvlText w:val="%1."/>
      <w:lvlJc w:val="left"/>
      <w:pPr>
        <w:tabs>
          <w:tab w:val="num" w:pos="360"/>
        </w:tabs>
        <w:ind w:left="360" w:hanging="360"/>
      </w:pPr>
      <w:rPr>
        <w:rFonts w:hint="default"/>
      </w:rPr>
    </w:lvl>
  </w:abstractNum>
  <w:abstractNum w:abstractNumId="2">
    <w:nsid w:val="1EAB3941"/>
    <w:multiLevelType w:val="hybridMultilevel"/>
    <w:tmpl w:val="50EAA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E61662"/>
    <w:multiLevelType w:val="hybridMultilevel"/>
    <w:tmpl w:val="C1C423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3MDAyNLawsDA3srRU0lEKTi0uzszPAykwqgUAV4Y8hiwAAAA="/>
  </w:docVars>
  <w:rsids>
    <w:rsidRoot w:val="006C02A7"/>
    <w:rsid w:val="000029BF"/>
    <w:rsid w:val="0007125A"/>
    <w:rsid w:val="000B0928"/>
    <w:rsid w:val="000B2535"/>
    <w:rsid w:val="0012366B"/>
    <w:rsid w:val="00132648"/>
    <w:rsid w:val="00144208"/>
    <w:rsid w:val="00160E42"/>
    <w:rsid w:val="00164256"/>
    <w:rsid w:val="00171181"/>
    <w:rsid w:val="00185B3F"/>
    <w:rsid w:val="001F0B9C"/>
    <w:rsid w:val="00293380"/>
    <w:rsid w:val="00303D7A"/>
    <w:rsid w:val="003466E1"/>
    <w:rsid w:val="00481042"/>
    <w:rsid w:val="00533C39"/>
    <w:rsid w:val="005E7133"/>
    <w:rsid w:val="006077D6"/>
    <w:rsid w:val="00614D05"/>
    <w:rsid w:val="00685209"/>
    <w:rsid w:val="006C02A7"/>
    <w:rsid w:val="006F7580"/>
    <w:rsid w:val="00811749"/>
    <w:rsid w:val="008E3F00"/>
    <w:rsid w:val="00912DB1"/>
    <w:rsid w:val="00985383"/>
    <w:rsid w:val="009E61D2"/>
    <w:rsid w:val="00A164A2"/>
    <w:rsid w:val="00A44FCD"/>
    <w:rsid w:val="00A70EA5"/>
    <w:rsid w:val="00AC7D11"/>
    <w:rsid w:val="00AE74CE"/>
    <w:rsid w:val="00B451F2"/>
    <w:rsid w:val="00C15627"/>
    <w:rsid w:val="00C4747A"/>
    <w:rsid w:val="00CC3247"/>
    <w:rsid w:val="00D54301"/>
    <w:rsid w:val="00D907E5"/>
    <w:rsid w:val="00E21A56"/>
    <w:rsid w:val="00E66C73"/>
    <w:rsid w:val="00E745A1"/>
    <w:rsid w:val="00EA41AF"/>
    <w:rsid w:val="00EF561D"/>
    <w:rsid w:val="00F20E43"/>
    <w:rsid w:val="00F632A1"/>
    <w:rsid w:val="00FB0075"/>
    <w:rsid w:val="00FE3231"/>
    <w:rsid w:val="00FE4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val="en-GB"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i/>
      <w:sz w:val="22"/>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rPr>
  </w:style>
  <w:style w:type="paragraph" w:styleId="berschrift4">
    <w:name w:val="heading 4"/>
    <w:basedOn w:val="Standard"/>
    <w:next w:val="Standard"/>
    <w:qFormat/>
    <w:pPr>
      <w:keepNext/>
      <w:numPr>
        <w:ilvl w:val="3"/>
        <w:numId w:val="1"/>
      </w:numPr>
      <w:outlineLvl w:val="3"/>
    </w:pPr>
    <w:rPr>
      <w:rFonts w:ascii="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hAnsi="Times New Roman" w:cs="Times New Roman"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Times New Roman" w:hAnsi="Times New Roman" w:cs="Times New Roman" w:hint="default"/>
    </w:rPr>
  </w:style>
  <w:style w:type="character" w:customStyle="1" w:styleId="WW8Num6z0">
    <w:name w:val="WW8Num6z0"/>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Times New Roman" w:hAnsi="Times New Roman" w:cs="Times New Roman" w:hint="default"/>
    </w:rPr>
  </w:style>
  <w:style w:type="character" w:customStyle="1" w:styleId="Absatz-Standardschriftart1">
    <w:name w:val="Absatz-Standardschriftart1"/>
  </w:style>
  <w:style w:type="character" w:styleId="Hyperlink">
    <w:name w:val="Hyperlink"/>
    <w:rPr>
      <w:color w:val="0000FF"/>
      <w:u w:val="single"/>
    </w:rPr>
  </w:style>
  <w:style w:type="paragraph" w:customStyle="1" w:styleId="Heading">
    <w:name w:val="Heading"/>
    <w:basedOn w:val="Number"/>
    <w:next w:val="Author"/>
    <w:pPr>
      <w:spacing w:before="0" w:after="0"/>
    </w:pPr>
    <w:rPr>
      <w:b/>
      <w:bCs/>
      <w:sz w:val="22"/>
    </w:rPr>
  </w:style>
  <w:style w:type="paragraph" w:styleId="Textkrper">
    <w:name w:val="Body Text"/>
    <w:basedOn w:val="Standard"/>
    <w:rPr>
      <w:sz w:val="22"/>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rPr>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cs="Arial"/>
      <w:sz w:val="16"/>
    </w:rPr>
  </w:style>
  <w:style w:type="paragraph" w:customStyle="1" w:styleId="Number">
    <w:name w:val="Number"/>
    <w:basedOn w:val="Standard"/>
    <w:next w:val="Heading"/>
    <w:pPr>
      <w:spacing w:before="120" w:after="360"/>
    </w:pPr>
    <w:rPr>
      <w:rFonts w:ascii="Arial" w:hAnsi="Arial" w:cs="Arial"/>
      <w:sz w:val="28"/>
    </w:rPr>
  </w:style>
  <w:style w:type="paragraph" w:customStyle="1" w:styleId="Author">
    <w:name w:val="Author"/>
    <w:basedOn w:val="Standard"/>
    <w:next w:val="copyright"/>
    <w:pPr>
      <w:spacing w:after="480"/>
    </w:pPr>
    <w:rPr>
      <w:rFonts w:ascii="Arial" w:hAnsi="Arial" w:cs="Arial"/>
    </w:rPr>
  </w:style>
  <w:style w:type="paragraph" w:customStyle="1" w:styleId="copyright">
    <w:name w:val="copyright"/>
    <w:basedOn w:val="Author"/>
    <w:pPr>
      <w:spacing w:after="0" w:line="140" w:lineRule="exact"/>
      <w:jc w:val="both"/>
    </w:pPr>
    <w:rPr>
      <w:sz w:val="12"/>
    </w:rPr>
  </w:style>
  <w:style w:type="paragraph" w:customStyle="1" w:styleId="Textkrper21">
    <w:name w:val="Textkörper 21"/>
    <w:basedOn w:val="Standard"/>
    <w:pPr>
      <w:jc w:val="both"/>
    </w:pPr>
  </w:style>
  <w:style w:type="paragraph" w:customStyle="1" w:styleId="Blocktext1">
    <w:name w:val="Blocktext1"/>
    <w:basedOn w:val="Standard"/>
    <w:pPr>
      <w:ind w:left="144" w:right="-86" w:hanging="144"/>
      <w:jc w:val="both"/>
    </w:pPr>
  </w:style>
  <w:style w:type="paragraph" w:customStyle="1" w:styleId="rule">
    <w:name w:val="rule"/>
    <w:basedOn w:val="Standard"/>
    <w:next w:val="copyright"/>
  </w:style>
  <w:style w:type="paragraph" w:customStyle="1" w:styleId="para">
    <w:name w:val="para"/>
    <w:basedOn w:val="Standard"/>
    <w:next w:val="para1"/>
    <w:pPr>
      <w:jc w:val="both"/>
    </w:pPr>
  </w:style>
  <w:style w:type="paragraph" w:customStyle="1" w:styleId="Head3">
    <w:name w:val="Head3"/>
    <w:basedOn w:val="para"/>
    <w:next w:val="para1"/>
    <w:pPr>
      <w:ind w:firstLine="288"/>
    </w:pPr>
    <w:rPr>
      <w:b/>
      <w:i/>
    </w:rPr>
  </w:style>
  <w:style w:type="paragraph" w:customStyle="1" w:styleId="Head4">
    <w:name w:val="Head4"/>
    <w:basedOn w:val="Head3"/>
    <w:next w:val="para1"/>
    <w:rPr>
      <w:b w:val="0"/>
    </w:rPr>
  </w:style>
  <w:style w:type="paragraph" w:customStyle="1" w:styleId="para1">
    <w:name w:val="para1"/>
    <w:basedOn w:val="para"/>
    <w:pPr>
      <w:spacing w:before="120"/>
      <w:ind w:firstLine="288"/>
    </w:pPr>
  </w:style>
  <w:style w:type="paragraph" w:customStyle="1" w:styleId="Textkrper31">
    <w:name w:val="Textkörper 31"/>
    <w:basedOn w:val="Standard"/>
    <w:pPr>
      <w:ind w:right="-90"/>
      <w:jc w:val="both"/>
    </w:pPr>
    <w:rPr>
      <w:sz w:val="24"/>
    </w:rPr>
  </w:style>
  <w:style w:type="paragraph" w:customStyle="1" w:styleId="Head1">
    <w:name w:val="Head1"/>
    <w:basedOn w:val="Standard"/>
    <w:next w:val="para"/>
    <w:pPr>
      <w:keepNext/>
    </w:pPr>
    <w:rPr>
      <w:rFonts w:ascii="Arial" w:hAnsi="Arial" w:cs="Arial"/>
      <w:b/>
    </w:rPr>
  </w:style>
  <w:style w:type="paragraph" w:customStyle="1" w:styleId="Head2">
    <w:name w:val="Head2"/>
    <w:basedOn w:val="Head1"/>
    <w:next w:val="para1"/>
    <w:pPr>
      <w:keepNext w:val="0"/>
      <w:jc w:val="both"/>
    </w:pPr>
    <w:rPr>
      <w:rFonts w:ascii="Times New Roman" w:hAnsi="Times New Roman" w:cs="Times New Roman"/>
    </w:rPr>
  </w:style>
  <w:style w:type="paragraph" w:customStyle="1" w:styleId="References">
    <w:name w:val="References"/>
    <w:basedOn w:val="para"/>
    <w:pPr>
      <w:numPr>
        <w:numId w:val="2"/>
      </w:numPr>
      <w:tabs>
        <w:tab w:val="right" w:pos="360"/>
      </w:tabs>
    </w:pPr>
  </w:style>
  <w:style w:type="paragraph" w:customStyle="1" w:styleId="WW-Textkrper2">
    <w:name w:val="WW-Textkörper 2"/>
    <w:basedOn w:val="Standard"/>
    <w:pPr>
      <w:ind w:firstLine="360"/>
      <w:jc w:val="both"/>
    </w:pPr>
  </w:style>
  <w:style w:type="paragraph" w:styleId="Textkrper-Zeileneinzug">
    <w:name w:val="Body Text Indent"/>
    <w:basedOn w:val="Standard"/>
    <w:pPr>
      <w:ind w:left="1080" w:hanging="1080"/>
      <w:jc w:val="both"/>
    </w:pPr>
    <w:rPr>
      <w:rFonts w:ascii="Arial" w:hAnsi="Arial" w:cs="Arial"/>
      <w:sz w:val="22"/>
      <w:lang w:val="en-US"/>
    </w:rPr>
  </w:style>
  <w:style w:type="paragraph" w:customStyle="1" w:styleId="Textkrper-Einzug21">
    <w:name w:val="Textkörper-Einzug 21"/>
    <w:basedOn w:val="Standard"/>
    <w:pPr>
      <w:ind w:left="360" w:hanging="720"/>
    </w:pPr>
  </w:style>
  <w:style w:type="paragraph" w:customStyle="1" w:styleId="FrameContents">
    <w:name w:val="Frame Contents"/>
    <w:basedOn w:val="Standard"/>
  </w:style>
  <w:style w:type="paragraph" w:customStyle="1" w:styleId="HeaderLeft">
    <w:name w:val="Header Left"/>
    <w:basedOn w:val="Standard"/>
    <w:pPr>
      <w:suppressLineNumbers/>
      <w:tabs>
        <w:tab w:val="center" w:pos="4680"/>
        <w:tab w:val="right" w:pos="9360"/>
      </w:tabs>
    </w:pPr>
  </w:style>
  <w:style w:type="paragraph" w:styleId="Sprechblasentext">
    <w:name w:val="Balloon Text"/>
    <w:basedOn w:val="Standard"/>
    <w:link w:val="SprechblasentextZchn"/>
    <w:uiPriority w:val="99"/>
    <w:semiHidden/>
    <w:unhideWhenUsed/>
    <w:rsid w:val="008E3F00"/>
    <w:rPr>
      <w:rFonts w:ascii="Tahoma" w:hAnsi="Tahoma" w:cs="Tahoma"/>
      <w:sz w:val="16"/>
      <w:szCs w:val="16"/>
    </w:rPr>
  </w:style>
  <w:style w:type="character" w:customStyle="1" w:styleId="SprechblasentextZchn">
    <w:name w:val="Sprechblasentext Zchn"/>
    <w:link w:val="Sprechblasentext"/>
    <w:uiPriority w:val="99"/>
    <w:semiHidden/>
    <w:rsid w:val="008E3F00"/>
    <w:rPr>
      <w:rFonts w:ascii="Tahoma" w:hAnsi="Tahoma" w:cs="Tahoma"/>
      <w:sz w:val="16"/>
      <w:szCs w:val="16"/>
      <w:lang w:val="en-GB" w:eastAsia="zh-CN"/>
    </w:rPr>
  </w:style>
  <w:style w:type="paragraph" w:styleId="Literaturverzeichnis">
    <w:name w:val="Bibliography"/>
    <w:basedOn w:val="Standard"/>
    <w:next w:val="Standard"/>
    <w:uiPriority w:val="37"/>
    <w:unhideWhenUsed/>
    <w:rsid w:val="006077D6"/>
    <w:pPr>
      <w:spacing w:after="60" w:line="36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val="en-GB"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i/>
      <w:sz w:val="22"/>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rPr>
  </w:style>
  <w:style w:type="paragraph" w:styleId="berschrift4">
    <w:name w:val="heading 4"/>
    <w:basedOn w:val="Standard"/>
    <w:next w:val="Standard"/>
    <w:qFormat/>
    <w:pPr>
      <w:keepNext/>
      <w:numPr>
        <w:ilvl w:val="3"/>
        <w:numId w:val="1"/>
      </w:numPr>
      <w:outlineLvl w:val="3"/>
    </w:pPr>
    <w:rPr>
      <w:rFonts w:ascii="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hAnsi="Times New Roman" w:cs="Times New Roman"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Times New Roman" w:hAnsi="Times New Roman" w:cs="Times New Roman" w:hint="default"/>
    </w:rPr>
  </w:style>
  <w:style w:type="character" w:customStyle="1" w:styleId="WW8Num6z0">
    <w:name w:val="WW8Num6z0"/>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Times New Roman" w:hAnsi="Times New Roman" w:cs="Times New Roman" w:hint="default"/>
    </w:rPr>
  </w:style>
  <w:style w:type="character" w:customStyle="1" w:styleId="Absatz-Standardschriftart1">
    <w:name w:val="Absatz-Standardschriftart1"/>
  </w:style>
  <w:style w:type="character" w:styleId="Hyperlink">
    <w:name w:val="Hyperlink"/>
    <w:rPr>
      <w:color w:val="0000FF"/>
      <w:u w:val="single"/>
    </w:rPr>
  </w:style>
  <w:style w:type="paragraph" w:customStyle="1" w:styleId="Heading">
    <w:name w:val="Heading"/>
    <w:basedOn w:val="Number"/>
    <w:next w:val="Author"/>
    <w:pPr>
      <w:spacing w:before="0" w:after="0"/>
    </w:pPr>
    <w:rPr>
      <w:b/>
      <w:bCs/>
      <w:sz w:val="22"/>
    </w:rPr>
  </w:style>
  <w:style w:type="paragraph" w:styleId="Textkrper">
    <w:name w:val="Body Text"/>
    <w:basedOn w:val="Standard"/>
    <w:rPr>
      <w:sz w:val="22"/>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rPr>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cs="Arial"/>
      <w:sz w:val="16"/>
    </w:rPr>
  </w:style>
  <w:style w:type="paragraph" w:customStyle="1" w:styleId="Number">
    <w:name w:val="Number"/>
    <w:basedOn w:val="Standard"/>
    <w:next w:val="Heading"/>
    <w:pPr>
      <w:spacing w:before="120" w:after="360"/>
    </w:pPr>
    <w:rPr>
      <w:rFonts w:ascii="Arial" w:hAnsi="Arial" w:cs="Arial"/>
      <w:sz w:val="28"/>
    </w:rPr>
  </w:style>
  <w:style w:type="paragraph" w:customStyle="1" w:styleId="Author">
    <w:name w:val="Author"/>
    <w:basedOn w:val="Standard"/>
    <w:next w:val="copyright"/>
    <w:pPr>
      <w:spacing w:after="480"/>
    </w:pPr>
    <w:rPr>
      <w:rFonts w:ascii="Arial" w:hAnsi="Arial" w:cs="Arial"/>
    </w:rPr>
  </w:style>
  <w:style w:type="paragraph" w:customStyle="1" w:styleId="copyright">
    <w:name w:val="copyright"/>
    <w:basedOn w:val="Author"/>
    <w:pPr>
      <w:spacing w:after="0" w:line="140" w:lineRule="exact"/>
      <w:jc w:val="both"/>
    </w:pPr>
    <w:rPr>
      <w:sz w:val="12"/>
    </w:rPr>
  </w:style>
  <w:style w:type="paragraph" w:customStyle="1" w:styleId="Textkrper21">
    <w:name w:val="Textkörper 21"/>
    <w:basedOn w:val="Standard"/>
    <w:pPr>
      <w:jc w:val="both"/>
    </w:pPr>
  </w:style>
  <w:style w:type="paragraph" w:customStyle="1" w:styleId="Blocktext1">
    <w:name w:val="Blocktext1"/>
    <w:basedOn w:val="Standard"/>
    <w:pPr>
      <w:ind w:left="144" w:right="-86" w:hanging="144"/>
      <w:jc w:val="both"/>
    </w:pPr>
  </w:style>
  <w:style w:type="paragraph" w:customStyle="1" w:styleId="rule">
    <w:name w:val="rule"/>
    <w:basedOn w:val="Standard"/>
    <w:next w:val="copyright"/>
  </w:style>
  <w:style w:type="paragraph" w:customStyle="1" w:styleId="para">
    <w:name w:val="para"/>
    <w:basedOn w:val="Standard"/>
    <w:next w:val="para1"/>
    <w:pPr>
      <w:jc w:val="both"/>
    </w:pPr>
  </w:style>
  <w:style w:type="paragraph" w:customStyle="1" w:styleId="Head3">
    <w:name w:val="Head3"/>
    <w:basedOn w:val="para"/>
    <w:next w:val="para1"/>
    <w:pPr>
      <w:ind w:firstLine="288"/>
    </w:pPr>
    <w:rPr>
      <w:b/>
      <w:i/>
    </w:rPr>
  </w:style>
  <w:style w:type="paragraph" w:customStyle="1" w:styleId="Head4">
    <w:name w:val="Head4"/>
    <w:basedOn w:val="Head3"/>
    <w:next w:val="para1"/>
    <w:rPr>
      <w:b w:val="0"/>
    </w:rPr>
  </w:style>
  <w:style w:type="paragraph" w:customStyle="1" w:styleId="para1">
    <w:name w:val="para1"/>
    <w:basedOn w:val="para"/>
    <w:pPr>
      <w:spacing w:before="120"/>
      <w:ind w:firstLine="288"/>
    </w:pPr>
  </w:style>
  <w:style w:type="paragraph" w:customStyle="1" w:styleId="Textkrper31">
    <w:name w:val="Textkörper 31"/>
    <w:basedOn w:val="Standard"/>
    <w:pPr>
      <w:ind w:right="-90"/>
      <w:jc w:val="both"/>
    </w:pPr>
    <w:rPr>
      <w:sz w:val="24"/>
    </w:rPr>
  </w:style>
  <w:style w:type="paragraph" w:customStyle="1" w:styleId="Head1">
    <w:name w:val="Head1"/>
    <w:basedOn w:val="Standard"/>
    <w:next w:val="para"/>
    <w:pPr>
      <w:keepNext/>
    </w:pPr>
    <w:rPr>
      <w:rFonts w:ascii="Arial" w:hAnsi="Arial" w:cs="Arial"/>
      <w:b/>
    </w:rPr>
  </w:style>
  <w:style w:type="paragraph" w:customStyle="1" w:styleId="Head2">
    <w:name w:val="Head2"/>
    <w:basedOn w:val="Head1"/>
    <w:next w:val="para1"/>
    <w:pPr>
      <w:keepNext w:val="0"/>
      <w:jc w:val="both"/>
    </w:pPr>
    <w:rPr>
      <w:rFonts w:ascii="Times New Roman" w:hAnsi="Times New Roman" w:cs="Times New Roman"/>
    </w:rPr>
  </w:style>
  <w:style w:type="paragraph" w:customStyle="1" w:styleId="References">
    <w:name w:val="References"/>
    <w:basedOn w:val="para"/>
    <w:pPr>
      <w:numPr>
        <w:numId w:val="2"/>
      </w:numPr>
      <w:tabs>
        <w:tab w:val="right" w:pos="360"/>
      </w:tabs>
    </w:pPr>
  </w:style>
  <w:style w:type="paragraph" w:customStyle="1" w:styleId="WW-Textkrper2">
    <w:name w:val="WW-Textkörper 2"/>
    <w:basedOn w:val="Standard"/>
    <w:pPr>
      <w:ind w:firstLine="360"/>
      <w:jc w:val="both"/>
    </w:pPr>
  </w:style>
  <w:style w:type="paragraph" w:styleId="Textkrper-Zeileneinzug">
    <w:name w:val="Body Text Indent"/>
    <w:basedOn w:val="Standard"/>
    <w:pPr>
      <w:ind w:left="1080" w:hanging="1080"/>
      <w:jc w:val="both"/>
    </w:pPr>
    <w:rPr>
      <w:rFonts w:ascii="Arial" w:hAnsi="Arial" w:cs="Arial"/>
      <w:sz w:val="22"/>
      <w:lang w:val="en-US"/>
    </w:rPr>
  </w:style>
  <w:style w:type="paragraph" w:customStyle="1" w:styleId="Textkrper-Einzug21">
    <w:name w:val="Textkörper-Einzug 21"/>
    <w:basedOn w:val="Standard"/>
    <w:pPr>
      <w:ind w:left="360" w:hanging="720"/>
    </w:pPr>
  </w:style>
  <w:style w:type="paragraph" w:customStyle="1" w:styleId="FrameContents">
    <w:name w:val="Frame Contents"/>
    <w:basedOn w:val="Standard"/>
  </w:style>
  <w:style w:type="paragraph" w:customStyle="1" w:styleId="HeaderLeft">
    <w:name w:val="Header Left"/>
    <w:basedOn w:val="Standard"/>
    <w:pPr>
      <w:suppressLineNumbers/>
      <w:tabs>
        <w:tab w:val="center" w:pos="4680"/>
        <w:tab w:val="right" w:pos="9360"/>
      </w:tabs>
    </w:pPr>
  </w:style>
  <w:style w:type="paragraph" w:styleId="Sprechblasentext">
    <w:name w:val="Balloon Text"/>
    <w:basedOn w:val="Standard"/>
    <w:link w:val="SprechblasentextZchn"/>
    <w:uiPriority w:val="99"/>
    <w:semiHidden/>
    <w:unhideWhenUsed/>
    <w:rsid w:val="008E3F00"/>
    <w:rPr>
      <w:rFonts w:ascii="Tahoma" w:hAnsi="Tahoma" w:cs="Tahoma"/>
      <w:sz w:val="16"/>
      <w:szCs w:val="16"/>
    </w:rPr>
  </w:style>
  <w:style w:type="character" w:customStyle="1" w:styleId="SprechblasentextZchn">
    <w:name w:val="Sprechblasentext Zchn"/>
    <w:link w:val="Sprechblasentext"/>
    <w:uiPriority w:val="99"/>
    <w:semiHidden/>
    <w:rsid w:val="008E3F00"/>
    <w:rPr>
      <w:rFonts w:ascii="Tahoma" w:hAnsi="Tahoma" w:cs="Tahoma"/>
      <w:sz w:val="16"/>
      <w:szCs w:val="16"/>
      <w:lang w:val="en-GB" w:eastAsia="zh-CN"/>
    </w:rPr>
  </w:style>
  <w:style w:type="paragraph" w:styleId="Literaturverzeichnis">
    <w:name w:val="Bibliography"/>
    <w:basedOn w:val="Standard"/>
    <w:next w:val="Standard"/>
    <w:uiPriority w:val="37"/>
    <w:unhideWhenUsed/>
    <w:rsid w:val="006077D6"/>
    <w:pPr>
      <w:spacing w:after="60" w:line="36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5548">
      <w:bodyDiv w:val="1"/>
      <w:marLeft w:val="0"/>
      <w:marRight w:val="0"/>
      <w:marTop w:val="0"/>
      <w:marBottom w:val="0"/>
      <w:divBdr>
        <w:top w:val="none" w:sz="0" w:space="0" w:color="auto"/>
        <w:left w:val="none" w:sz="0" w:space="0" w:color="auto"/>
        <w:bottom w:val="none" w:sz="0" w:space="0" w:color="auto"/>
        <w:right w:val="none" w:sz="0" w:space="0" w:color="auto"/>
      </w:divBdr>
    </w:div>
    <w:div w:id="1167205480">
      <w:bodyDiv w:val="1"/>
      <w:marLeft w:val="0"/>
      <w:marRight w:val="0"/>
      <w:marTop w:val="0"/>
      <w:marBottom w:val="0"/>
      <w:divBdr>
        <w:top w:val="none" w:sz="0" w:space="0" w:color="auto"/>
        <w:left w:val="none" w:sz="0" w:space="0" w:color="auto"/>
        <w:bottom w:val="none" w:sz="0" w:space="0" w:color="auto"/>
        <w:right w:val="none" w:sz="0" w:space="0" w:color="auto"/>
      </w:divBdr>
      <w:divsChild>
        <w:div w:id="137116147">
          <w:marLeft w:val="547"/>
          <w:marRight w:val="0"/>
          <w:marTop w:val="96"/>
          <w:marBottom w:val="38"/>
          <w:divBdr>
            <w:top w:val="none" w:sz="0" w:space="0" w:color="auto"/>
            <w:left w:val="none" w:sz="0" w:space="0" w:color="auto"/>
            <w:bottom w:val="none" w:sz="0" w:space="0" w:color="auto"/>
            <w:right w:val="none" w:sz="0" w:space="0" w:color="auto"/>
          </w:divBdr>
        </w:div>
        <w:div w:id="418527144">
          <w:marLeft w:val="547"/>
          <w:marRight w:val="0"/>
          <w:marTop w:val="96"/>
          <w:marBottom w:val="38"/>
          <w:divBdr>
            <w:top w:val="none" w:sz="0" w:space="0" w:color="auto"/>
            <w:left w:val="none" w:sz="0" w:space="0" w:color="auto"/>
            <w:bottom w:val="none" w:sz="0" w:space="0" w:color="auto"/>
            <w:right w:val="none" w:sz="0" w:space="0" w:color="auto"/>
          </w:divBdr>
        </w:div>
        <w:div w:id="824593125">
          <w:marLeft w:val="547"/>
          <w:marRight w:val="0"/>
          <w:marTop w:val="96"/>
          <w:marBottom w:val="38"/>
          <w:divBdr>
            <w:top w:val="none" w:sz="0" w:space="0" w:color="auto"/>
            <w:left w:val="none" w:sz="0" w:space="0" w:color="auto"/>
            <w:bottom w:val="none" w:sz="0" w:space="0" w:color="auto"/>
            <w:right w:val="none" w:sz="0" w:space="0" w:color="auto"/>
          </w:divBdr>
        </w:div>
        <w:div w:id="1267612270">
          <w:marLeft w:val="547"/>
          <w:marRight w:val="0"/>
          <w:marTop w:val="96"/>
          <w:marBottom w:val="38"/>
          <w:divBdr>
            <w:top w:val="none" w:sz="0" w:space="0" w:color="auto"/>
            <w:left w:val="none" w:sz="0" w:space="0" w:color="auto"/>
            <w:bottom w:val="none" w:sz="0" w:space="0" w:color="auto"/>
            <w:right w:val="none" w:sz="0" w:space="0" w:color="auto"/>
          </w:divBdr>
        </w:div>
        <w:div w:id="1745059290">
          <w:marLeft w:val="547"/>
          <w:marRight w:val="0"/>
          <w:marTop w:val="96"/>
          <w:marBottom w:val="38"/>
          <w:divBdr>
            <w:top w:val="none" w:sz="0" w:space="0" w:color="auto"/>
            <w:left w:val="none" w:sz="0" w:space="0" w:color="auto"/>
            <w:bottom w:val="none" w:sz="0" w:space="0" w:color="auto"/>
            <w:right w:val="none" w:sz="0" w:space="0" w:color="auto"/>
          </w:divBdr>
        </w:div>
      </w:divsChild>
    </w:div>
    <w:div w:id="1370184595">
      <w:bodyDiv w:val="1"/>
      <w:marLeft w:val="0"/>
      <w:marRight w:val="0"/>
      <w:marTop w:val="0"/>
      <w:marBottom w:val="0"/>
      <w:divBdr>
        <w:top w:val="none" w:sz="0" w:space="0" w:color="auto"/>
        <w:left w:val="none" w:sz="0" w:space="0" w:color="auto"/>
        <w:bottom w:val="none" w:sz="0" w:space="0" w:color="auto"/>
        <w:right w:val="none" w:sz="0" w:space="0" w:color="auto"/>
      </w:divBdr>
      <w:divsChild>
        <w:div w:id="721446143">
          <w:marLeft w:val="576"/>
          <w:marRight w:val="0"/>
          <w:marTop w:val="58"/>
          <w:marBottom w:val="38"/>
          <w:divBdr>
            <w:top w:val="none" w:sz="0" w:space="0" w:color="auto"/>
            <w:left w:val="none" w:sz="0" w:space="0" w:color="auto"/>
            <w:bottom w:val="none" w:sz="0" w:space="0" w:color="auto"/>
            <w:right w:val="none" w:sz="0" w:space="0" w:color="auto"/>
          </w:divBdr>
        </w:div>
        <w:div w:id="1414888565">
          <w:marLeft w:val="576"/>
          <w:marRight w:val="0"/>
          <w:marTop w:val="58"/>
          <w:marBottom w:val="3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1320</Words>
  <Characters>8322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DIW Berlin</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 Gerbaulet</dc:creator>
  <cp:lastModifiedBy>cvh</cp:lastModifiedBy>
  <cp:revision>3</cp:revision>
  <cp:lastPrinted>2017-01-09T14:15:00Z</cp:lastPrinted>
  <dcterms:created xsi:type="dcterms:W3CDTF">2017-06-05T20:34:00Z</dcterms:created>
  <dcterms:modified xsi:type="dcterms:W3CDTF">2017-06-05T20:34:00Z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id="bEZ44rxH"/&gt;&lt;style id="http://www.zotero.org/styles/wip_en_v014" hasBibliography="1" bibliographyStyleHasBeenSet="1"/&gt;&lt;prefs&gt;&lt;pref name="fieldType" value="Field"/&gt;&lt;pref name="storeReferences" v</vt:lpwstr>
  </property>
  <property fmtid="{D5CDD505-2E9C-101B-9397-08002B2CF9AE}" pid="3" name="ZOTERO_PREF_2">
    <vt:lpwstr>alue="true"/&gt;&lt;pref name="automaticJournalAbbreviations" value=""/&gt;&lt;pref name="noteType" value=""/&gt;&lt;/prefs&gt;&lt;/data&gt;</vt:lpwstr>
  </property>
</Properties>
</file>