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8FA" w:rsidRDefault="00902332" w:rsidP="00087C04">
      <w:pPr>
        <w:spacing w:after="0" w:line="240" w:lineRule="auto"/>
        <w:rPr>
          <w:rFonts w:ascii="Times New Roman" w:hAnsi="Times New Roman" w:cs="Times New Roman"/>
          <w:b/>
          <w:i/>
          <w:sz w:val="28"/>
          <w:szCs w:val="28"/>
        </w:rPr>
      </w:pPr>
      <w:r>
        <w:rPr>
          <w:rFonts w:ascii="Times New Roman" w:hAnsi="Times New Roman" w:cs="Times New Roman"/>
          <w:b/>
          <w:i/>
          <w:sz w:val="28"/>
          <w:szCs w:val="28"/>
        </w:rPr>
        <w:t>REVISITING THE LONG-RUN INCOME ELASTICITY OF ENERGY CONSUMPTION: AN OECD-COUNTRY PANEL ANALYSIS</w:t>
      </w:r>
      <w:r w:rsidR="007F680F">
        <w:rPr>
          <w:rFonts w:ascii="Times New Roman" w:hAnsi="Times New Roman" w:cs="Times New Roman"/>
          <w:b/>
          <w:i/>
          <w:sz w:val="28"/>
          <w:szCs w:val="28"/>
        </w:rPr>
        <w:t xml:space="preserve"> </w:t>
      </w:r>
    </w:p>
    <w:p w:rsidR="00087C04" w:rsidRDefault="00087C04" w:rsidP="00087C04">
      <w:pPr>
        <w:spacing w:after="0" w:line="240" w:lineRule="auto"/>
        <w:rPr>
          <w:rFonts w:ascii="Times New Roman" w:hAnsi="Times New Roman" w:cs="Times New Roman"/>
          <w:b/>
          <w:i/>
          <w:sz w:val="28"/>
          <w:szCs w:val="28"/>
        </w:rPr>
      </w:pPr>
    </w:p>
    <w:p w:rsidR="00087C04" w:rsidRDefault="006C6BAA" w:rsidP="00F741D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Brantley Liddle, Energy Studies Institute, National University Singapore,</w:t>
      </w:r>
      <w:r w:rsidR="00087C04">
        <w:rPr>
          <w:rFonts w:ascii="Times New Roman" w:hAnsi="Times New Roman" w:cs="Times New Roman"/>
          <w:sz w:val="20"/>
          <w:szCs w:val="20"/>
        </w:rPr>
        <w:t xml:space="preserve"> E-mail: </w:t>
      </w:r>
      <w:hyperlink r:id="rId6" w:history="1">
        <w:r w:rsidR="00087C04" w:rsidRPr="001A75ED">
          <w:rPr>
            <w:rStyle w:val="Hyperlink"/>
            <w:rFonts w:ascii="Times New Roman" w:hAnsi="Times New Roman" w:cs="Times New Roman"/>
            <w:sz w:val="20"/>
            <w:szCs w:val="20"/>
          </w:rPr>
          <w:t>btliddle@alum.mit.edu</w:t>
        </w:r>
      </w:hyperlink>
    </w:p>
    <w:p w:rsidR="00087C04" w:rsidRDefault="00087C04" w:rsidP="00087C04">
      <w:pPr>
        <w:spacing w:after="0" w:line="240" w:lineRule="auto"/>
        <w:jc w:val="right"/>
        <w:rPr>
          <w:rFonts w:ascii="Times New Roman" w:hAnsi="Times New Roman" w:cs="Times New Roman"/>
          <w:sz w:val="20"/>
          <w:szCs w:val="20"/>
        </w:rPr>
      </w:pPr>
    </w:p>
    <w:p w:rsidR="0009674E" w:rsidRPr="0009674E" w:rsidRDefault="00087C04" w:rsidP="0009674E">
      <w:pPr>
        <w:pStyle w:val="Heading2"/>
        <w:ind w:left="-810" w:firstLine="810"/>
        <w:rPr>
          <w:i w:val="0"/>
          <w:sz w:val="24"/>
          <w:szCs w:val="24"/>
        </w:rPr>
      </w:pPr>
      <w:r w:rsidRPr="00476853">
        <w:rPr>
          <w:i w:val="0"/>
          <w:sz w:val="24"/>
          <w:szCs w:val="24"/>
        </w:rPr>
        <w:t>Overview</w:t>
      </w:r>
    </w:p>
    <w:p w:rsidR="006C6BAA" w:rsidRPr="006C6BAA" w:rsidRDefault="00902332" w:rsidP="006C6BA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Estimating the relationship between economic development and energy demand and determining whether that relationship changes as levels of development change have been popular questions in energy economics (e.g., Judson et al. 1999; Medlock and Soligo 2001; and van Benthem and Romani 2009). The current paper contributes to the literature by assembling a long, </w:t>
      </w:r>
      <w:r w:rsidR="00E74226">
        <w:rPr>
          <w:rFonts w:ascii="Times New Roman" w:hAnsi="Times New Roman" w:cs="Times New Roman"/>
          <w:sz w:val="20"/>
          <w:szCs w:val="20"/>
        </w:rPr>
        <w:t>balanced</w:t>
      </w:r>
      <w:r>
        <w:rPr>
          <w:rFonts w:ascii="Times New Roman" w:hAnsi="Times New Roman" w:cs="Times New Roman"/>
          <w:sz w:val="20"/>
          <w:szCs w:val="20"/>
        </w:rPr>
        <w:t xml:space="preserve"> panel dataset of energy consumption and prices for 17 OECD countries, employing state of the art methods that address nonstationarity, heterogeneity, and cross-sectional dependence, and considering several modeling approaches to nonlinearities beyond using polynomials of income. Ultimately, we find the income elasticity of energy consumption to be stable over-time, but perhaps, approximating an S-curve where at the highest levels of income the elasticity becomes statistically insignificant</w:t>
      </w:r>
      <w:r w:rsidR="00D41586">
        <w:rPr>
          <w:rFonts w:ascii="Times New Roman" w:hAnsi="Times New Roman" w:cs="Times New Roman"/>
          <w:sz w:val="20"/>
          <w:szCs w:val="20"/>
        </w:rPr>
        <w:t>.</w:t>
      </w:r>
    </w:p>
    <w:p w:rsidR="0009674E" w:rsidRPr="0009674E" w:rsidRDefault="00D41586" w:rsidP="0009674E">
      <w:pPr>
        <w:pStyle w:val="Heading2"/>
        <w:ind w:left="-810" w:firstLine="810"/>
        <w:rPr>
          <w:i w:val="0"/>
          <w:sz w:val="24"/>
          <w:szCs w:val="24"/>
        </w:rPr>
      </w:pPr>
      <w:r>
        <w:rPr>
          <w:i w:val="0"/>
          <w:sz w:val="24"/>
          <w:szCs w:val="24"/>
        </w:rPr>
        <w:t>Data, Model, &amp; Methods</w:t>
      </w:r>
    </w:p>
    <w:p w:rsidR="00D41586" w:rsidRDefault="00D41586" w:rsidP="006C6BAA">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While including only 17 OECD countries, we assemble what is a relatively long (balanced) panel for energy consumption and price data spanning 1960-2014. </w:t>
      </w:r>
      <w:r w:rsidR="000B3CEC">
        <w:rPr>
          <w:rFonts w:ascii="Times New Roman" w:hAnsi="Times New Roman" w:cs="Times New Roman"/>
          <w:sz w:val="20"/>
          <w:szCs w:val="20"/>
          <w:lang w:val="en-US"/>
        </w:rPr>
        <w:t xml:space="preserve">(Those countries are Austria, Belgium, Canada, Denmark, France, Greece, Ireland, Italy, Japan, Netherlands, Norway, Portugal, Spain, Sweden, Switzerland, United Kingdom, and United States.) </w:t>
      </w:r>
      <w:r>
        <w:rPr>
          <w:rFonts w:ascii="Times New Roman" w:hAnsi="Times New Roman" w:cs="Times New Roman"/>
          <w:sz w:val="20"/>
          <w:szCs w:val="20"/>
          <w:lang w:val="en-US"/>
        </w:rPr>
        <w:t xml:space="preserve">Several previous income-energy demand studies have considered (sometimes many) more countries, including some non-OECD ones; however, those studies have typically spanned merely 20-25 years. </w:t>
      </w:r>
      <w:r w:rsidR="000D6BF9">
        <w:rPr>
          <w:rFonts w:ascii="Times New Roman" w:hAnsi="Times New Roman" w:cs="Times New Roman"/>
          <w:sz w:val="20"/>
          <w:szCs w:val="20"/>
          <w:lang w:val="en-US"/>
        </w:rPr>
        <w:t xml:space="preserve">We collected </w:t>
      </w:r>
      <w:r w:rsidR="000D6BF9">
        <w:rPr>
          <w:rFonts w:ascii="Times New Roman" w:hAnsi="Times New Roman" w:cs="Times New Roman"/>
          <w:sz w:val="20"/>
          <w:szCs w:val="20"/>
          <w:lang w:val="en-US"/>
        </w:rPr>
        <w:t>from the International Energy Agency (IEA)</w:t>
      </w:r>
      <w:r w:rsidR="000D6BF9">
        <w:rPr>
          <w:rFonts w:ascii="Times New Roman" w:hAnsi="Times New Roman" w:cs="Times New Roman"/>
          <w:sz w:val="20"/>
          <w:szCs w:val="20"/>
          <w:lang w:val="en-US"/>
        </w:rPr>
        <w:t xml:space="preserve"> data on real GDP per capita and</w:t>
      </w:r>
      <w:r w:rsidR="000B3CEC">
        <w:rPr>
          <w:rFonts w:ascii="Times New Roman" w:hAnsi="Times New Roman" w:cs="Times New Roman"/>
          <w:sz w:val="20"/>
          <w:szCs w:val="20"/>
          <w:lang w:val="en-US"/>
        </w:rPr>
        <w:t xml:space="preserve"> total final energy, industry energy, and transport energy consumption, and </w:t>
      </w:r>
      <w:r w:rsidR="000D6BF9">
        <w:rPr>
          <w:rFonts w:ascii="Times New Roman" w:hAnsi="Times New Roman" w:cs="Times New Roman"/>
          <w:sz w:val="20"/>
          <w:szCs w:val="20"/>
          <w:lang w:val="en-US"/>
        </w:rPr>
        <w:t xml:space="preserve">on </w:t>
      </w:r>
      <w:r w:rsidR="000B3CEC">
        <w:rPr>
          <w:rFonts w:ascii="Times New Roman" w:hAnsi="Times New Roman" w:cs="Times New Roman"/>
          <w:sz w:val="20"/>
          <w:szCs w:val="20"/>
          <w:lang w:val="en-US"/>
        </w:rPr>
        <w:t>real price indices for overall energy, industry energy, and gasoline. (Data from Baade 1981 is used to extend IEA’s price series from 1971 to 1960.)</w:t>
      </w:r>
    </w:p>
    <w:p w:rsidR="000B3CEC" w:rsidRDefault="000B3CEC" w:rsidP="006C6BAA">
      <w:pPr>
        <w:spacing w:after="0" w:line="240" w:lineRule="auto"/>
        <w:rPr>
          <w:rFonts w:ascii="Times New Roman" w:hAnsi="Times New Roman" w:cs="Times New Roman"/>
          <w:sz w:val="20"/>
          <w:szCs w:val="20"/>
          <w:lang w:val="en-US"/>
        </w:rPr>
      </w:pPr>
    </w:p>
    <w:p w:rsidR="000C0248" w:rsidRDefault="000C0248" w:rsidP="000C0248">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Like Medlock and Soligo (2001), we assume that energy consumption is a function of sector-specific energy prices, GDP per capita, and lagged energy consumption. Also, as in Medlock and Soligo we transform the variables by taking natural logs. We include country-specific constants and a common time trend to account for technical progress. </w:t>
      </w:r>
    </w:p>
    <w:p w:rsidR="000C0248" w:rsidRDefault="000C0248" w:rsidP="000C0248">
      <w:pPr>
        <w:spacing w:after="0" w:line="240" w:lineRule="auto"/>
        <w:rPr>
          <w:rFonts w:ascii="Times New Roman" w:hAnsi="Times New Roman" w:cs="Times New Roman"/>
          <w:sz w:val="20"/>
          <w:szCs w:val="20"/>
          <w:lang w:val="en-US"/>
        </w:rPr>
      </w:pPr>
    </w:p>
    <w:p w:rsidR="00F741D8" w:rsidRDefault="000C0248" w:rsidP="000C0248">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The </w:t>
      </w:r>
      <w:r w:rsidRPr="000C0248">
        <w:rPr>
          <w:rFonts w:ascii="Times New Roman" w:hAnsi="Times New Roman" w:cs="Times New Roman"/>
          <w:sz w:val="20"/>
          <w:szCs w:val="20"/>
          <w:lang w:val="en-US"/>
        </w:rPr>
        <w:t xml:space="preserve">mean group </w:t>
      </w:r>
      <w:r>
        <w:rPr>
          <w:rFonts w:ascii="Times New Roman" w:hAnsi="Times New Roman" w:cs="Times New Roman"/>
          <w:sz w:val="20"/>
          <w:szCs w:val="20"/>
          <w:lang w:val="en-US"/>
        </w:rPr>
        <w:t>estimation approach address heterogeneity by first estimating</w:t>
      </w:r>
      <w:r w:rsidRPr="000C0248">
        <w:rPr>
          <w:rFonts w:ascii="Times New Roman" w:hAnsi="Times New Roman" w:cs="Times New Roman"/>
          <w:sz w:val="20"/>
          <w:szCs w:val="20"/>
          <w:lang w:val="en-US"/>
        </w:rPr>
        <w:t xml:space="preserve"> cross-section specific regressions</w:t>
      </w:r>
      <w:r>
        <w:rPr>
          <w:rFonts w:ascii="Times New Roman" w:hAnsi="Times New Roman" w:cs="Times New Roman"/>
          <w:sz w:val="20"/>
          <w:szCs w:val="20"/>
          <w:lang w:val="en-US"/>
        </w:rPr>
        <w:t xml:space="preserve"> and then averaging</w:t>
      </w:r>
      <w:r w:rsidRPr="000C0248">
        <w:rPr>
          <w:rFonts w:ascii="Times New Roman" w:hAnsi="Times New Roman" w:cs="Times New Roman"/>
          <w:sz w:val="20"/>
          <w:szCs w:val="20"/>
          <w:lang w:val="en-US"/>
        </w:rPr>
        <w:t xml:space="preserve"> those estimated cross-sectional coefficients to arrive at panel coefficients</w:t>
      </w:r>
      <w:r>
        <w:rPr>
          <w:rFonts w:ascii="Times New Roman" w:hAnsi="Times New Roman" w:cs="Times New Roman"/>
          <w:sz w:val="20"/>
          <w:szCs w:val="20"/>
          <w:lang w:val="en-US"/>
        </w:rPr>
        <w:t>.</w:t>
      </w:r>
      <w:r w:rsidRPr="000C0248">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Yet, the OECD countries are not independent and are likely to be linked by more than simply shared global shocks. </w:t>
      </w:r>
      <w:r w:rsidRPr="000C0248">
        <w:rPr>
          <w:rFonts w:ascii="Times New Roman" w:hAnsi="Times New Roman" w:cs="Times New Roman"/>
          <w:sz w:val="20"/>
          <w:szCs w:val="20"/>
          <w:lang w:val="en-US"/>
        </w:rPr>
        <w:t xml:space="preserve">The common correlated effects </w:t>
      </w:r>
      <w:r>
        <w:rPr>
          <w:rFonts w:ascii="Times New Roman" w:hAnsi="Times New Roman" w:cs="Times New Roman"/>
          <w:sz w:val="20"/>
          <w:szCs w:val="20"/>
          <w:lang w:val="en-US"/>
        </w:rPr>
        <w:t>(CCE) approach</w:t>
      </w:r>
      <w:r w:rsidRPr="000C0248">
        <w:rPr>
          <w:rFonts w:ascii="Times New Roman" w:hAnsi="Times New Roman" w:cs="Times New Roman"/>
          <w:sz w:val="20"/>
          <w:szCs w:val="20"/>
          <w:lang w:val="en-US"/>
        </w:rPr>
        <w:t xml:space="preserve"> accounts for the presence of unobserved common factors by including in the regression cross-sectional averages of the dependent a</w:t>
      </w:r>
      <w:r>
        <w:rPr>
          <w:rFonts w:ascii="Times New Roman" w:hAnsi="Times New Roman" w:cs="Times New Roman"/>
          <w:sz w:val="20"/>
          <w:szCs w:val="20"/>
          <w:lang w:val="en-US"/>
        </w:rPr>
        <w:t>nd independent variables</w:t>
      </w:r>
      <w:r w:rsidRPr="000C0248">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0C0248">
        <w:rPr>
          <w:rFonts w:ascii="Times New Roman" w:hAnsi="Times New Roman" w:cs="Times New Roman"/>
          <w:sz w:val="20"/>
          <w:szCs w:val="20"/>
          <w:lang w:val="en-US"/>
        </w:rPr>
        <w:t xml:space="preserve">However, the CCE estimator is not consistent in dynamic panels since the lagged dependent variable is no longer strictly exogenous. Chudik and Pesaran (2015) demonstrate that the estimator becomes consistent again when additional </w:t>
      </w:r>
      <m:oMath>
        <m:rad>
          <m:radPr>
            <m:ctrlPr>
              <w:rPr>
                <w:rFonts w:ascii="Cambria Math" w:hAnsi="Cambria Math" w:cs="Times New Roman"/>
                <w:i/>
                <w:sz w:val="20"/>
                <w:szCs w:val="20"/>
                <w:lang w:val="en-US"/>
              </w:rPr>
            </m:ctrlPr>
          </m:radPr>
          <m:deg>
            <m:r>
              <w:rPr>
                <w:rFonts w:ascii="Cambria Math" w:hAnsi="Cambria Math" w:cs="Times New Roman"/>
                <w:sz w:val="20"/>
                <w:szCs w:val="20"/>
                <w:lang w:val="en-US"/>
              </w:rPr>
              <m:t>3</m:t>
            </m:r>
          </m:deg>
          <m:e>
            <m:r>
              <w:rPr>
                <w:rFonts w:ascii="Cambria Math" w:hAnsi="Cambria Math" w:cs="Times New Roman"/>
                <w:sz w:val="20"/>
                <w:szCs w:val="20"/>
                <w:lang w:val="en-US"/>
              </w:rPr>
              <m:t>T</m:t>
            </m:r>
          </m:e>
        </m:rad>
      </m:oMath>
      <w:r w:rsidRPr="000C0248">
        <w:rPr>
          <w:rFonts w:ascii="Times New Roman" w:hAnsi="Times New Roman" w:cs="Times New Roman"/>
          <w:sz w:val="20"/>
          <w:szCs w:val="20"/>
          <w:lang w:val="en-US"/>
        </w:rPr>
        <w:t xml:space="preserve"> lags of the cross-sectional means are included. Hence, we employ the Dynamic Common Correlated Effects Estimator (DCCE) of Chudik and Pesaran (2015).</w:t>
      </w:r>
    </w:p>
    <w:p w:rsidR="00F469BE" w:rsidRDefault="00F469BE" w:rsidP="000C0248">
      <w:pPr>
        <w:spacing w:after="0" w:line="240" w:lineRule="auto"/>
        <w:rPr>
          <w:rFonts w:ascii="Times New Roman" w:hAnsi="Times New Roman" w:cs="Times New Roman"/>
          <w:sz w:val="20"/>
          <w:szCs w:val="20"/>
          <w:lang w:val="en-US"/>
        </w:rPr>
      </w:pPr>
    </w:p>
    <w:p w:rsidR="00F469BE" w:rsidRPr="000C0248" w:rsidRDefault="00F469BE" w:rsidP="000C0248">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Rather than include polynomial transformations of GDP per capita, we examine the stability of the long-run income elasticity demand over-time by estimating the relationship at sequential time intervals of 25-30 years. In addition, we split the sample into income-based quartiles and estimate a pooled CCE regression for each of those quartiles.</w:t>
      </w:r>
    </w:p>
    <w:p w:rsidR="00DB6582" w:rsidRDefault="00DB6582" w:rsidP="00087C04">
      <w:pPr>
        <w:pStyle w:val="Heading2"/>
        <w:rPr>
          <w:i w:val="0"/>
          <w:sz w:val="24"/>
          <w:szCs w:val="24"/>
        </w:rPr>
      </w:pPr>
      <w:r>
        <w:rPr>
          <w:i w:val="0"/>
          <w:sz w:val="24"/>
          <w:szCs w:val="24"/>
        </w:rPr>
        <w:t>Results and Discussion</w:t>
      </w:r>
    </w:p>
    <w:p w:rsidR="00061885" w:rsidRDefault="00F469BE" w:rsidP="00061885">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Figure 1 displays the long-run income elasticity of energy demand estimated at sequential 25 year-spans. The figure displays the 95% confidence intervals of those estimations as vertical bars. While there is variance in the estimation of the income elasticity, and even some instability (since the estimate is not significantly different from zero for two time spans), there is no evidence that the elasticity estimated from the later periods is significantly different from the elasticity estimated from the earliest periods (e.g., the 1960-1985 estimate is not significantly different from the 1990-2014 one). </w:t>
      </w:r>
    </w:p>
    <w:p w:rsidR="00F469BE" w:rsidRDefault="00F469BE" w:rsidP="00061885">
      <w:pPr>
        <w:spacing w:after="0" w:line="240" w:lineRule="auto"/>
        <w:rPr>
          <w:rFonts w:ascii="Times New Roman" w:hAnsi="Times New Roman" w:cs="Times New Roman"/>
          <w:sz w:val="20"/>
          <w:szCs w:val="20"/>
          <w:lang w:val="en-US"/>
        </w:rPr>
      </w:pPr>
    </w:p>
    <w:p w:rsidR="00F469BE" w:rsidRDefault="00F469BE" w:rsidP="00061885">
      <w:pPr>
        <w:spacing w:after="0" w:line="240" w:lineRule="auto"/>
        <w:rPr>
          <w:rFonts w:ascii="Times New Roman" w:hAnsi="Times New Roman" w:cs="Times New Roman"/>
          <w:sz w:val="20"/>
          <w:szCs w:val="20"/>
          <w:lang w:val="en-US"/>
        </w:rPr>
      </w:pPr>
    </w:p>
    <w:p w:rsidR="00F469BE" w:rsidRPr="00061885" w:rsidRDefault="00F469BE" w:rsidP="00061885">
      <w:pPr>
        <w:spacing w:after="0" w:line="240" w:lineRule="auto"/>
        <w:rPr>
          <w:rFonts w:ascii="Times New Roman" w:hAnsi="Times New Roman" w:cs="Times New Roman"/>
          <w:sz w:val="20"/>
          <w:szCs w:val="20"/>
          <w:lang w:val="en-US"/>
        </w:rPr>
      </w:pPr>
    </w:p>
    <w:p w:rsidR="007F72CC" w:rsidRDefault="007F72CC" w:rsidP="00DB6582">
      <w:pPr>
        <w:spacing w:after="0" w:line="240" w:lineRule="auto"/>
        <w:rPr>
          <w:rFonts w:ascii="Times New Roman" w:hAnsi="Times New Roman" w:cs="Times New Roman"/>
          <w:sz w:val="20"/>
          <w:szCs w:val="20"/>
          <w:lang w:val="en-GB"/>
        </w:rPr>
      </w:pPr>
    </w:p>
    <w:p w:rsidR="00F469BE" w:rsidRDefault="00F469BE" w:rsidP="00095864">
      <w:pPr>
        <w:spacing w:after="0" w:line="240" w:lineRule="auto"/>
        <w:rPr>
          <w:rFonts w:ascii="Times New Roman" w:hAnsi="Times New Roman" w:cs="Times New Roman"/>
          <w:sz w:val="20"/>
          <w:szCs w:val="20"/>
        </w:rPr>
      </w:pPr>
      <w:r>
        <w:rPr>
          <w:noProof/>
          <w:lang w:val="en-US"/>
        </w:rPr>
        <w:lastRenderedPageBreak/>
        <w:drawing>
          <wp:inline distT="0" distB="0" distL="0" distR="0" wp14:anchorId="439A60BB" wp14:editId="3957E7E7">
            <wp:extent cx="5667375" cy="19716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469BE" w:rsidRDefault="00F469BE" w:rsidP="00095864">
      <w:pPr>
        <w:spacing w:after="0" w:line="240" w:lineRule="auto"/>
        <w:rPr>
          <w:rFonts w:ascii="Times New Roman" w:hAnsi="Times New Roman" w:cs="Times New Roman"/>
          <w:sz w:val="20"/>
          <w:szCs w:val="20"/>
        </w:rPr>
      </w:pPr>
    </w:p>
    <w:p w:rsidR="00F57709" w:rsidRDefault="00F57709" w:rsidP="00095864">
      <w:pPr>
        <w:spacing w:after="0" w:line="240" w:lineRule="auto"/>
        <w:rPr>
          <w:rFonts w:ascii="Times New Roman" w:hAnsi="Times New Roman" w:cs="Times New Roman"/>
          <w:sz w:val="20"/>
          <w:szCs w:val="20"/>
        </w:rPr>
      </w:pPr>
    </w:p>
    <w:p w:rsidR="00815458" w:rsidRDefault="00815458" w:rsidP="0009586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Table 1 displays the results of the regressions run at the different income quartiles. The long-run income elasticity is similar for most income groups; however, at the highest quartile of income, the relationship between GDP per capita and energy consumption per capita is no longer significant (indeed, for this quartile, the coefficient for lagged energy consumption is not different from unity). The table suggests that the relationship between the income elasticity of energy demand and income level is similar to an elongated S-curve—a lower elasticity at lower income levels, followed by a fairly constant elasticity at most income levels, and a rather horizontal (i.e., no relationship) at the highest income levels. </w:t>
      </w:r>
    </w:p>
    <w:p w:rsidR="00F469BE" w:rsidRDefault="00815458" w:rsidP="0009586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095864" w:rsidRDefault="00095864" w:rsidP="0009586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Table 1. </w:t>
      </w:r>
      <w:r w:rsidR="008B736C">
        <w:rPr>
          <w:rFonts w:ascii="Times New Roman" w:hAnsi="Times New Roman" w:cs="Times New Roman"/>
          <w:sz w:val="20"/>
          <w:szCs w:val="20"/>
        </w:rPr>
        <w:t>Income elasticity of energy demand at different income groups</w:t>
      </w:r>
      <w:r w:rsidR="00BF06A7">
        <w:rPr>
          <w:rFonts w:ascii="Times New Roman" w:hAnsi="Times New Roman" w:cs="Times New Roman"/>
          <w:sz w:val="20"/>
          <w:szCs w:val="20"/>
        </w:rPr>
        <w:t>.</w:t>
      </w:r>
    </w:p>
    <w:tbl>
      <w:tblPr>
        <w:tblStyle w:val="LightShading1"/>
        <w:tblW w:w="0" w:type="auto"/>
        <w:tblLook w:val="06A0" w:firstRow="1" w:lastRow="0" w:firstColumn="1" w:lastColumn="0" w:noHBand="1" w:noVBand="1"/>
      </w:tblPr>
      <w:tblGrid>
        <w:gridCol w:w="1657"/>
        <w:gridCol w:w="1631"/>
        <w:gridCol w:w="2048"/>
        <w:gridCol w:w="2048"/>
        <w:gridCol w:w="1632"/>
      </w:tblGrid>
      <w:tr w:rsidR="008B736C" w:rsidTr="008B73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7" w:type="dxa"/>
          </w:tcPr>
          <w:p w:rsidR="008B736C" w:rsidRPr="008B736C" w:rsidRDefault="008B736C" w:rsidP="008B736C">
            <w:pPr>
              <w:rPr>
                <w:rFonts w:ascii="Times New Roman" w:hAnsi="Times New Roman" w:cs="Times New Roman"/>
                <w:sz w:val="20"/>
                <w:szCs w:val="20"/>
              </w:rPr>
            </w:pPr>
          </w:p>
        </w:tc>
        <w:tc>
          <w:tcPr>
            <w:tcW w:w="1631" w:type="dxa"/>
          </w:tcPr>
          <w:p w:rsidR="008B736C" w:rsidRPr="008B736C" w:rsidRDefault="008B736C" w:rsidP="008B736C">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8B736C">
              <w:rPr>
                <w:b w:val="0"/>
                <w:sz w:val="20"/>
                <w:szCs w:val="20"/>
              </w:rPr>
              <w:t>GDP&lt;19,250</w:t>
            </w:r>
          </w:p>
        </w:tc>
        <w:tc>
          <w:tcPr>
            <w:tcW w:w="2048" w:type="dxa"/>
          </w:tcPr>
          <w:p w:rsidR="008B736C" w:rsidRPr="008B736C" w:rsidRDefault="008B736C" w:rsidP="008B736C">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8B736C">
              <w:rPr>
                <w:b w:val="0"/>
                <w:sz w:val="20"/>
                <w:szCs w:val="20"/>
              </w:rPr>
              <w:t>19,250&lt;GDP&lt;26,600</w:t>
            </w:r>
          </w:p>
        </w:tc>
        <w:tc>
          <w:tcPr>
            <w:tcW w:w="2048" w:type="dxa"/>
          </w:tcPr>
          <w:p w:rsidR="008B736C" w:rsidRPr="008B736C" w:rsidRDefault="008B736C" w:rsidP="008B736C">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8B736C">
              <w:rPr>
                <w:b w:val="0"/>
                <w:sz w:val="20"/>
                <w:szCs w:val="20"/>
              </w:rPr>
              <w:t>26,600&lt;GDP&lt;35,600</w:t>
            </w:r>
          </w:p>
        </w:tc>
        <w:tc>
          <w:tcPr>
            <w:tcW w:w="1632" w:type="dxa"/>
          </w:tcPr>
          <w:p w:rsidR="008B736C" w:rsidRPr="008B736C" w:rsidRDefault="008B736C" w:rsidP="008B736C">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8B736C">
              <w:rPr>
                <w:b w:val="0"/>
                <w:sz w:val="20"/>
                <w:szCs w:val="20"/>
              </w:rPr>
              <w:t>GDP&gt;35,600</w:t>
            </w:r>
          </w:p>
        </w:tc>
      </w:tr>
      <w:tr w:rsidR="008B736C" w:rsidTr="008B736C">
        <w:tc>
          <w:tcPr>
            <w:cnfStyle w:val="001000000000" w:firstRow="0" w:lastRow="0" w:firstColumn="1" w:lastColumn="0" w:oddVBand="0" w:evenVBand="0" w:oddHBand="0" w:evenHBand="0" w:firstRowFirstColumn="0" w:firstRowLastColumn="0" w:lastRowFirstColumn="0" w:lastRowLastColumn="0"/>
            <w:tcW w:w="1657" w:type="dxa"/>
          </w:tcPr>
          <w:p w:rsidR="008B736C" w:rsidRPr="008B736C" w:rsidRDefault="008B736C" w:rsidP="008B736C">
            <w:pPr>
              <w:rPr>
                <w:b w:val="0"/>
                <w:sz w:val="20"/>
                <w:szCs w:val="20"/>
              </w:rPr>
            </w:pPr>
            <w:r w:rsidRPr="008B736C">
              <w:rPr>
                <w:b w:val="0"/>
                <w:sz w:val="20"/>
                <w:szCs w:val="20"/>
              </w:rPr>
              <w:t xml:space="preserve">Energy </w:t>
            </w:r>
            <w:r w:rsidRPr="008B736C">
              <w:rPr>
                <w:b w:val="0"/>
                <w:sz w:val="20"/>
                <w:szCs w:val="20"/>
                <w:vertAlign w:val="subscript"/>
              </w:rPr>
              <w:t>t-1</w:t>
            </w:r>
          </w:p>
        </w:tc>
        <w:tc>
          <w:tcPr>
            <w:tcW w:w="1631" w:type="dxa"/>
          </w:tcPr>
          <w:p w:rsidR="008B736C" w:rsidRPr="008B736C" w:rsidRDefault="008B736C" w:rsidP="008B736C">
            <w:pPr>
              <w:jc w:val="center"/>
              <w:cnfStyle w:val="000000000000" w:firstRow="0" w:lastRow="0" w:firstColumn="0" w:lastColumn="0" w:oddVBand="0" w:evenVBand="0" w:oddHBand="0" w:evenHBand="0" w:firstRowFirstColumn="0" w:firstRowLastColumn="0" w:lastRowFirstColumn="0" w:lastRowLastColumn="0"/>
              <w:rPr>
                <w:sz w:val="20"/>
                <w:szCs w:val="20"/>
              </w:rPr>
            </w:pPr>
            <w:r w:rsidRPr="008B736C">
              <w:rPr>
                <w:sz w:val="20"/>
                <w:szCs w:val="20"/>
              </w:rPr>
              <w:t>0.776****</w:t>
            </w:r>
          </w:p>
        </w:tc>
        <w:tc>
          <w:tcPr>
            <w:tcW w:w="2048" w:type="dxa"/>
          </w:tcPr>
          <w:p w:rsidR="008B736C" w:rsidRPr="008B736C" w:rsidRDefault="008B736C" w:rsidP="008B736C">
            <w:pPr>
              <w:jc w:val="center"/>
              <w:cnfStyle w:val="000000000000" w:firstRow="0" w:lastRow="0" w:firstColumn="0" w:lastColumn="0" w:oddVBand="0" w:evenVBand="0" w:oddHBand="0" w:evenHBand="0" w:firstRowFirstColumn="0" w:firstRowLastColumn="0" w:lastRowFirstColumn="0" w:lastRowLastColumn="0"/>
              <w:rPr>
                <w:sz w:val="20"/>
                <w:szCs w:val="20"/>
              </w:rPr>
            </w:pPr>
            <w:r w:rsidRPr="008B736C">
              <w:rPr>
                <w:sz w:val="20"/>
                <w:szCs w:val="20"/>
              </w:rPr>
              <w:t>0.415***</w:t>
            </w:r>
          </w:p>
        </w:tc>
        <w:tc>
          <w:tcPr>
            <w:tcW w:w="2048" w:type="dxa"/>
          </w:tcPr>
          <w:p w:rsidR="008B736C" w:rsidRPr="008B736C" w:rsidRDefault="008B736C" w:rsidP="008B736C">
            <w:pPr>
              <w:jc w:val="center"/>
              <w:cnfStyle w:val="000000000000" w:firstRow="0" w:lastRow="0" w:firstColumn="0" w:lastColumn="0" w:oddVBand="0" w:evenVBand="0" w:oddHBand="0" w:evenHBand="0" w:firstRowFirstColumn="0" w:firstRowLastColumn="0" w:lastRowFirstColumn="0" w:lastRowLastColumn="0"/>
              <w:rPr>
                <w:sz w:val="20"/>
                <w:szCs w:val="20"/>
              </w:rPr>
            </w:pPr>
            <w:r w:rsidRPr="008B736C">
              <w:rPr>
                <w:sz w:val="20"/>
                <w:szCs w:val="20"/>
              </w:rPr>
              <w:t>0.287**</w:t>
            </w:r>
          </w:p>
        </w:tc>
        <w:tc>
          <w:tcPr>
            <w:tcW w:w="1632" w:type="dxa"/>
          </w:tcPr>
          <w:p w:rsidR="008B736C" w:rsidRPr="008B736C" w:rsidRDefault="008B736C" w:rsidP="008B736C">
            <w:pPr>
              <w:jc w:val="center"/>
              <w:cnfStyle w:val="000000000000" w:firstRow="0" w:lastRow="0" w:firstColumn="0" w:lastColumn="0" w:oddVBand="0" w:evenVBand="0" w:oddHBand="0" w:evenHBand="0" w:firstRowFirstColumn="0" w:firstRowLastColumn="0" w:lastRowFirstColumn="0" w:lastRowLastColumn="0"/>
              <w:rPr>
                <w:sz w:val="20"/>
                <w:szCs w:val="20"/>
              </w:rPr>
            </w:pPr>
            <w:r w:rsidRPr="008B736C">
              <w:rPr>
                <w:sz w:val="20"/>
                <w:szCs w:val="20"/>
              </w:rPr>
              <w:t>0.990****</w:t>
            </w:r>
          </w:p>
        </w:tc>
      </w:tr>
      <w:tr w:rsidR="008B736C" w:rsidTr="008B736C">
        <w:tc>
          <w:tcPr>
            <w:cnfStyle w:val="001000000000" w:firstRow="0" w:lastRow="0" w:firstColumn="1" w:lastColumn="0" w:oddVBand="0" w:evenVBand="0" w:oddHBand="0" w:evenHBand="0" w:firstRowFirstColumn="0" w:firstRowLastColumn="0" w:lastRowFirstColumn="0" w:lastRowLastColumn="0"/>
            <w:tcW w:w="1657" w:type="dxa"/>
          </w:tcPr>
          <w:p w:rsidR="008B736C" w:rsidRPr="008B736C" w:rsidRDefault="008B736C" w:rsidP="008B736C">
            <w:pPr>
              <w:rPr>
                <w:b w:val="0"/>
                <w:sz w:val="20"/>
                <w:szCs w:val="20"/>
              </w:rPr>
            </w:pPr>
            <w:r w:rsidRPr="008B736C">
              <w:rPr>
                <w:b w:val="0"/>
                <w:sz w:val="20"/>
                <w:szCs w:val="20"/>
              </w:rPr>
              <w:t>GDP</w:t>
            </w:r>
          </w:p>
        </w:tc>
        <w:tc>
          <w:tcPr>
            <w:tcW w:w="1631" w:type="dxa"/>
          </w:tcPr>
          <w:p w:rsidR="008B736C" w:rsidRPr="008B736C" w:rsidRDefault="008B736C" w:rsidP="008B736C">
            <w:pPr>
              <w:jc w:val="center"/>
              <w:cnfStyle w:val="000000000000" w:firstRow="0" w:lastRow="0" w:firstColumn="0" w:lastColumn="0" w:oddVBand="0" w:evenVBand="0" w:oddHBand="0" w:evenHBand="0" w:firstRowFirstColumn="0" w:firstRowLastColumn="0" w:lastRowFirstColumn="0" w:lastRowLastColumn="0"/>
              <w:rPr>
                <w:sz w:val="20"/>
                <w:szCs w:val="20"/>
              </w:rPr>
            </w:pPr>
            <w:r w:rsidRPr="008B736C">
              <w:rPr>
                <w:sz w:val="20"/>
                <w:szCs w:val="20"/>
              </w:rPr>
              <w:t>0.107*</w:t>
            </w:r>
          </w:p>
        </w:tc>
        <w:tc>
          <w:tcPr>
            <w:tcW w:w="2048" w:type="dxa"/>
          </w:tcPr>
          <w:p w:rsidR="008B736C" w:rsidRPr="008B736C" w:rsidRDefault="008B736C" w:rsidP="008B736C">
            <w:pPr>
              <w:jc w:val="center"/>
              <w:cnfStyle w:val="000000000000" w:firstRow="0" w:lastRow="0" w:firstColumn="0" w:lastColumn="0" w:oddVBand="0" w:evenVBand="0" w:oddHBand="0" w:evenHBand="0" w:firstRowFirstColumn="0" w:firstRowLastColumn="0" w:lastRowFirstColumn="0" w:lastRowLastColumn="0"/>
              <w:rPr>
                <w:sz w:val="20"/>
                <w:szCs w:val="20"/>
              </w:rPr>
            </w:pPr>
            <w:r w:rsidRPr="008B736C">
              <w:rPr>
                <w:sz w:val="20"/>
                <w:szCs w:val="20"/>
              </w:rPr>
              <w:t>0.485**</w:t>
            </w:r>
          </w:p>
        </w:tc>
        <w:tc>
          <w:tcPr>
            <w:tcW w:w="2048" w:type="dxa"/>
          </w:tcPr>
          <w:p w:rsidR="008B736C" w:rsidRPr="008B736C" w:rsidRDefault="008B736C" w:rsidP="008B736C">
            <w:pPr>
              <w:jc w:val="center"/>
              <w:cnfStyle w:val="000000000000" w:firstRow="0" w:lastRow="0" w:firstColumn="0" w:lastColumn="0" w:oddVBand="0" w:evenVBand="0" w:oddHBand="0" w:evenHBand="0" w:firstRowFirstColumn="0" w:firstRowLastColumn="0" w:lastRowFirstColumn="0" w:lastRowLastColumn="0"/>
              <w:rPr>
                <w:sz w:val="20"/>
                <w:szCs w:val="20"/>
              </w:rPr>
            </w:pPr>
            <w:r w:rsidRPr="008B736C">
              <w:rPr>
                <w:sz w:val="20"/>
                <w:szCs w:val="20"/>
              </w:rPr>
              <w:t>0.678***</w:t>
            </w:r>
          </w:p>
        </w:tc>
        <w:tc>
          <w:tcPr>
            <w:tcW w:w="1632" w:type="dxa"/>
          </w:tcPr>
          <w:p w:rsidR="008B736C" w:rsidRPr="008B736C" w:rsidRDefault="008B736C" w:rsidP="008B736C">
            <w:pPr>
              <w:jc w:val="center"/>
              <w:cnfStyle w:val="000000000000" w:firstRow="0" w:lastRow="0" w:firstColumn="0" w:lastColumn="0" w:oddVBand="0" w:evenVBand="0" w:oddHBand="0" w:evenHBand="0" w:firstRowFirstColumn="0" w:firstRowLastColumn="0" w:lastRowFirstColumn="0" w:lastRowLastColumn="0"/>
              <w:rPr>
                <w:sz w:val="20"/>
                <w:szCs w:val="20"/>
              </w:rPr>
            </w:pPr>
            <w:r w:rsidRPr="008B736C">
              <w:rPr>
                <w:sz w:val="20"/>
                <w:szCs w:val="20"/>
              </w:rPr>
              <w:t>0.017</w:t>
            </w:r>
          </w:p>
        </w:tc>
      </w:tr>
      <w:tr w:rsidR="008B736C" w:rsidTr="008B736C">
        <w:tc>
          <w:tcPr>
            <w:cnfStyle w:val="001000000000" w:firstRow="0" w:lastRow="0" w:firstColumn="1" w:lastColumn="0" w:oddVBand="0" w:evenVBand="0" w:oddHBand="0" w:evenHBand="0" w:firstRowFirstColumn="0" w:firstRowLastColumn="0" w:lastRowFirstColumn="0" w:lastRowLastColumn="0"/>
            <w:tcW w:w="1657" w:type="dxa"/>
          </w:tcPr>
          <w:p w:rsidR="008B736C" w:rsidRPr="008B736C" w:rsidRDefault="008B736C" w:rsidP="008B736C">
            <w:pPr>
              <w:rPr>
                <w:b w:val="0"/>
                <w:sz w:val="20"/>
                <w:szCs w:val="20"/>
              </w:rPr>
            </w:pPr>
            <w:r w:rsidRPr="008B736C">
              <w:rPr>
                <w:b w:val="0"/>
                <w:sz w:val="20"/>
                <w:szCs w:val="20"/>
              </w:rPr>
              <w:t>Price</w:t>
            </w:r>
          </w:p>
        </w:tc>
        <w:tc>
          <w:tcPr>
            <w:tcW w:w="1631" w:type="dxa"/>
          </w:tcPr>
          <w:p w:rsidR="008B736C" w:rsidRPr="008B736C" w:rsidRDefault="008B736C" w:rsidP="008B736C">
            <w:pPr>
              <w:jc w:val="center"/>
              <w:cnfStyle w:val="000000000000" w:firstRow="0" w:lastRow="0" w:firstColumn="0" w:lastColumn="0" w:oddVBand="0" w:evenVBand="0" w:oddHBand="0" w:evenHBand="0" w:firstRowFirstColumn="0" w:firstRowLastColumn="0" w:lastRowFirstColumn="0" w:lastRowLastColumn="0"/>
              <w:rPr>
                <w:sz w:val="20"/>
                <w:szCs w:val="20"/>
              </w:rPr>
            </w:pPr>
            <w:r w:rsidRPr="008B736C">
              <w:rPr>
                <w:sz w:val="20"/>
                <w:szCs w:val="20"/>
              </w:rPr>
              <w:t>-0.168*</w:t>
            </w:r>
          </w:p>
        </w:tc>
        <w:tc>
          <w:tcPr>
            <w:tcW w:w="2048" w:type="dxa"/>
          </w:tcPr>
          <w:p w:rsidR="008B736C" w:rsidRPr="008B736C" w:rsidRDefault="008B736C" w:rsidP="008B736C">
            <w:pPr>
              <w:jc w:val="center"/>
              <w:cnfStyle w:val="000000000000" w:firstRow="0" w:lastRow="0" w:firstColumn="0" w:lastColumn="0" w:oddVBand="0" w:evenVBand="0" w:oddHBand="0" w:evenHBand="0" w:firstRowFirstColumn="0" w:firstRowLastColumn="0" w:lastRowFirstColumn="0" w:lastRowLastColumn="0"/>
              <w:rPr>
                <w:sz w:val="20"/>
                <w:szCs w:val="20"/>
              </w:rPr>
            </w:pPr>
            <w:r w:rsidRPr="008B736C">
              <w:rPr>
                <w:sz w:val="20"/>
                <w:szCs w:val="20"/>
              </w:rPr>
              <w:t>-0.357****</w:t>
            </w:r>
          </w:p>
        </w:tc>
        <w:tc>
          <w:tcPr>
            <w:tcW w:w="2048" w:type="dxa"/>
          </w:tcPr>
          <w:p w:rsidR="008B736C" w:rsidRPr="008B736C" w:rsidRDefault="008B736C" w:rsidP="008B736C">
            <w:pPr>
              <w:jc w:val="center"/>
              <w:cnfStyle w:val="000000000000" w:firstRow="0" w:lastRow="0" w:firstColumn="0" w:lastColumn="0" w:oddVBand="0" w:evenVBand="0" w:oddHBand="0" w:evenHBand="0" w:firstRowFirstColumn="0" w:firstRowLastColumn="0" w:lastRowFirstColumn="0" w:lastRowLastColumn="0"/>
              <w:rPr>
                <w:sz w:val="20"/>
                <w:szCs w:val="20"/>
              </w:rPr>
            </w:pPr>
            <w:r w:rsidRPr="008B736C">
              <w:rPr>
                <w:sz w:val="20"/>
                <w:szCs w:val="20"/>
              </w:rPr>
              <w:t>-0.213*</w:t>
            </w:r>
          </w:p>
        </w:tc>
        <w:tc>
          <w:tcPr>
            <w:tcW w:w="1632" w:type="dxa"/>
          </w:tcPr>
          <w:p w:rsidR="008B736C" w:rsidRPr="008B736C" w:rsidRDefault="008B736C" w:rsidP="008B736C">
            <w:pPr>
              <w:jc w:val="center"/>
              <w:cnfStyle w:val="000000000000" w:firstRow="0" w:lastRow="0" w:firstColumn="0" w:lastColumn="0" w:oddVBand="0" w:evenVBand="0" w:oddHBand="0" w:evenHBand="0" w:firstRowFirstColumn="0" w:firstRowLastColumn="0" w:lastRowFirstColumn="0" w:lastRowLastColumn="0"/>
              <w:rPr>
                <w:sz w:val="20"/>
                <w:szCs w:val="20"/>
              </w:rPr>
            </w:pPr>
            <w:r w:rsidRPr="008B736C">
              <w:rPr>
                <w:sz w:val="20"/>
                <w:szCs w:val="20"/>
              </w:rPr>
              <w:t>-0.040</w:t>
            </w:r>
          </w:p>
        </w:tc>
      </w:tr>
      <w:tr w:rsidR="008B736C" w:rsidTr="008B736C">
        <w:tc>
          <w:tcPr>
            <w:cnfStyle w:val="001000000000" w:firstRow="0" w:lastRow="0" w:firstColumn="1" w:lastColumn="0" w:oddVBand="0" w:evenVBand="0" w:oddHBand="0" w:evenHBand="0" w:firstRowFirstColumn="0" w:firstRowLastColumn="0" w:lastRowFirstColumn="0" w:lastRowLastColumn="0"/>
            <w:tcW w:w="1657" w:type="dxa"/>
          </w:tcPr>
          <w:p w:rsidR="008B736C" w:rsidRPr="008B736C" w:rsidRDefault="008B736C" w:rsidP="008B736C">
            <w:pPr>
              <w:rPr>
                <w:b w:val="0"/>
                <w:sz w:val="20"/>
                <w:szCs w:val="20"/>
              </w:rPr>
            </w:pPr>
            <w:r w:rsidRPr="008B736C">
              <w:rPr>
                <w:b w:val="0"/>
                <w:sz w:val="20"/>
                <w:szCs w:val="20"/>
              </w:rPr>
              <w:t>GDP, long-run</w:t>
            </w:r>
          </w:p>
        </w:tc>
        <w:tc>
          <w:tcPr>
            <w:tcW w:w="1631" w:type="dxa"/>
          </w:tcPr>
          <w:p w:rsidR="008B736C" w:rsidRPr="008B736C" w:rsidRDefault="008B736C" w:rsidP="008B736C">
            <w:pPr>
              <w:jc w:val="center"/>
              <w:cnfStyle w:val="000000000000" w:firstRow="0" w:lastRow="0" w:firstColumn="0" w:lastColumn="0" w:oddVBand="0" w:evenVBand="0" w:oddHBand="0" w:evenHBand="0" w:firstRowFirstColumn="0" w:firstRowLastColumn="0" w:lastRowFirstColumn="0" w:lastRowLastColumn="0"/>
              <w:rPr>
                <w:sz w:val="20"/>
                <w:szCs w:val="20"/>
              </w:rPr>
            </w:pPr>
            <w:r w:rsidRPr="008B736C">
              <w:rPr>
                <w:sz w:val="20"/>
                <w:szCs w:val="20"/>
              </w:rPr>
              <w:t>0.479**</w:t>
            </w:r>
          </w:p>
          <w:p w:rsidR="008B736C" w:rsidRPr="008B736C" w:rsidRDefault="008B736C" w:rsidP="008B736C">
            <w:pPr>
              <w:jc w:val="center"/>
              <w:cnfStyle w:val="000000000000" w:firstRow="0" w:lastRow="0" w:firstColumn="0" w:lastColumn="0" w:oddVBand="0" w:evenVBand="0" w:oddHBand="0" w:evenHBand="0" w:firstRowFirstColumn="0" w:firstRowLastColumn="0" w:lastRowFirstColumn="0" w:lastRowLastColumn="0"/>
              <w:rPr>
                <w:sz w:val="20"/>
                <w:szCs w:val="20"/>
              </w:rPr>
            </w:pPr>
            <w:r w:rsidRPr="008B736C">
              <w:rPr>
                <w:sz w:val="20"/>
                <w:szCs w:val="20"/>
              </w:rPr>
              <w:t>[0.092 0.866]</w:t>
            </w:r>
          </w:p>
        </w:tc>
        <w:tc>
          <w:tcPr>
            <w:tcW w:w="2048" w:type="dxa"/>
          </w:tcPr>
          <w:p w:rsidR="008B736C" w:rsidRPr="008B736C" w:rsidRDefault="008B736C" w:rsidP="008B736C">
            <w:pPr>
              <w:jc w:val="center"/>
              <w:cnfStyle w:val="000000000000" w:firstRow="0" w:lastRow="0" w:firstColumn="0" w:lastColumn="0" w:oddVBand="0" w:evenVBand="0" w:oddHBand="0" w:evenHBand="0" w:firstRowFirstColumn="0" w:firstRowLastColumn="0" w:lastRowFirstColumn="0" w:lastRowLastColumn="0"/>
              <w:rPr>
                <w:sz w:val="20"/>
                <w:szCs w:val="20"/>
              </w:rPr>
            </w:pPr>
            <w:r w:rsidRPr="008B736C">
              <w:rPr>
                <w:sz w:val="20"/>
                <w:szCs w:val="20"/>
              </w:rPr>
              <w:t>0.828**</w:t>
            </w:r>
          </w:p>
          <w:p w:rsidR="008B736C" w:rsidRPr="008B736C" w:rsidRDefault="008B736C" w:rsidP="008B736C">
            <w:pPr>
              <w:jc w:val="center"/>
              <w:cnfStyle w:val="000000000000" w:firstRow="0" w:lastRow="0" w:firstColumn="0" w:lastColumn="0" w:oddVBand="0" w:evenVBand="0" w:oddHBand="0" w:evenHBand="0" w:firstRowFirstColumn="0" w:firstRowLastColumn="0" w:lastRowFirstColumn="0" w:lastRowLastColumn="0"/>
              <w:rPr>
                <w:sz w:val="20"/>
                <w:szCs w:val="20"/>
              </w:rPr>
            </w:pPr>
            <w:r w:rsidRPr="008B736C">
              <w:rPr>
                <w:sz w:val="20"/>
                <w:szCs w:val="20"/>
              </w:rPr>
              <w:t>[0.096 1.560]</w:t>
            </w:r>
          </w:p>
        </w:tc>
        <w:tc>
          <w:tcPr>
            <w:tcW w:w="2048" w:type="dxa"/>
          </w:tcPr>
          <w:p w:rsidR="008B736C" w:rsidRPr="008B736C" w:rsidRDefault="008B736C" w:rsidP="008B736C">
            <w:pPr>
              <w:jc w:val="center"/>
              <w:cnfStyle w:val="000000000000" w:firstRow="0" w:lastRow="0" w:firstColumn="0" w:lastColumn="0" w:oddVBand="0" w:evenVBand="0" w:oddHBand="0" w:evenHBand="0" w:firstRowFirstColumn="0" w:firstRowLastColumn="0" w:lastRowFirstColumn="0" w:lastRowLastColumn="0"/>
              <w:rPr>
                <w:sz w:val="20"/>
                <w:szCs w:val="20"/>
              </w:rPr>
            </w:pPr>
            <w:r w:rsidRPr="008B736C">
              <w:rPr>
                <w:sz w:val="20"/>
                <w:szCs w:val="20"/>
              </w:rPr>
              <w:t>0.951****</w:t>
            </w:r>
          </w:p>
          <w:p w:rsidR="008B736C" w:rsidRPr="008B736C" w:rsidRDefault="008B736C" w:rsidP="008B736C">
            <w:pPr>
              <w:jc w:val="center"/>
              <w:cnfStyle w:val="000000000000" w:firstRow="0" w:lastRow="0" w:firstColumn="0" w:lastColumn="0" w:oddVBand="0" w:evenVBand="0" w:oddHBand="0" w:evenHBand="0" w:firstRowFirstColumn="0" w:firstRowLastColumn="0" w:lastRowFirstColumn="0" w:lastRowLastColumn="0"/>
              <w:rPr>
                <w:sz w:val="20"/>
                <w:szCs w:val="20"/>
              </w:rPr>
            </w:pPr>
            <w:r w:rsidRPr="008B736C">
              <w:rPr>
                <w:sz w:val="20"/>
                <w:szCs w:val="20"/>
              </w:rPr>
              <w:t>[0.467 1.436]</w:t>
            </w:r>
          </w:p>
        </w:tc>
        <w:tc>
          <w:tcPr>
            <w:tcW w:w="1632" w:type="dxa"/>
          </w:tcPr>
          <w:p w:rsidR="008B736C" w:rsidRPr="008B736C" w:rsidRDefault="008B736C" w:rsidP="008B736C">
            <w:pPr>
              <w:jc w:val="center"/>
              <w:cnfStyle w:val="000000000000" w:firstRow="0" w:lastRow="0" w:firstColumn="0" w:lastColumn="0" w:oddVBand="0" w:evenVBand="0" w:oddHBand="0" w:evenHBand="0" w:firstRowFirstColumn="0" w:firstRowLastColumn="0" w:lastRowFirstColumn="0" w:lastRowLastColumn="0"/>
              <w:rPr>
                <w:sz w:val="20"/>
                <w:szCs w:val="20"/>
              </w:rPr>
            </w:pPr>
            <w:r w:rsidRPr="008B736C">
              <w:rPr>
                <w:sz w:val="20"/>
                <w:szCs w:val="20"/>
              </w:rPr>
              <w:t>1.655</w:t>
            </w:r>
          </w:p>
          <w:p w:rsidR="008B736C" w:rsidRPr="008B736C" w:rsidRDefault="008B736C" w:rsidP="008B736C">
            <w:pPr>
              <w:jc w:val="center"/>
              <w:cnfStyle w:val="000000000000" w:firstRow="0" w:lastRow="0" w:firstColumn="0" w:lastColumn="0" w:oddVBand="0" w:evenVBand="0" w:oddHBand="0" w:evenHBand="0" w:firstRowFirstColumn="0" w:firstRowLastColumn="0" w:lastRowFirstColumn="0" w:lastRowLastColumn="0"/>
              <w:rPr>
                <w:sz w:val="20"/>
                <w:szCs w:val="20"/>
              </w:rPr>
            </w:pPr>
            <w:r w:rsidRPr="008B736C">
              <w:rPr>
                <w:sz w:val="20"/>
                <w:szCs w:val="20"/>
              </w:rPr>
              <w:t>[-2.061 5.371]</w:t>
            </w:r>
          </w:p>
        </w:tc>
      </w:tr>
      <w:tr w:rsidR="008B736C" w:rsidTr="008B736C">
        <w:tc>
          <w:tcPr>
            <w:cnfStyle w:val="001000000000" w:firstRow="0" w:lastRow="0" w:firstColumn="1" w:lastColumn="0" w:oddVBand="0" w:evenVBand="0" w:oddHBand="0" w:evenHBand="0" w:firstRowFirstColumn="0" w:firstRowLastColumn="0" w:lastRowFirstColumn="0" w:lastRowLastColumn="0"/>
            <w:tcW w:w="1657" w:type="dxa"/>
          </w:tcPr>
          <w:p w:rsidR="008B736C" w:rsidRPr="008B736C" w:rsidRDefault="008B736C" w:rsidP="008B736C">
            <w:pPr>
              <w:rPr>
                <w:rFonts w:ascii="Times New Roman" w:hAnsi="Times New Roman" w:cs="Times New Roman"/>
                <w:b w:val="0"/>
                <w:sz w:val="20"/>
                <w:szCs w:val="20"/>
              </w:rPr>
            </w:pPr>
          </w:p>
        </w:tc>
        <w:tc>
          <w:tcPr>
            <w:tcW w:w="1631" w:type="dxa"/>
          </w:tcPr>
          <w:p w:rsidR="008B736C" w:rsidRPr="008B736C" w:rsidRDefault="008B736C" w:rsidP="008B73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048" w:type="dxa"/>
          </w:tcPr>
          <w:p w:rsidR="008B736C" w:rsidRPr="008B736C" w:rsidRDefault="008B736C" w:rsidP="008B73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048" w:type="dxa"/>
          </w:tcPr>
          <w:p w:rsidR="008B736C" w:rsidRPr="008B736C" w:rsidRDefault="008B736C" w:rsidP="008B73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632" w:type="dxa"/>
          </w:tcPr>
          <w:p w:rsidR="008B736C" w:rsidRPr="008B736C" w:rsidRDefault="008B736C" w:rsidP="008B73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8B736C" w:rsidTr="008B736C">
        <w:tc>
          <w:tcPr>
            <w:cnfStyle w:val="001000000000" w:firstRow="0" w:lastRow="0" w:firstColumn="1" w:lastColumn="0" w:oddVBand="0" w:evenVBand="0" w:oddHBand="0" w:evenHBand="0" w:firstRowFirstColumn="0" w:firstRowLastColumn="0" w:lastRowFirstColumn="0" w:lastRowLastColumn="0"/>
            <w:tcW w:w="1657" w:type="dxa"/>
          </w:tcPr>
          <w:p w:rsidR="008B736C" w:rsidRPr="008B736C" w:rsidRDefault="008B736C" w:rsidP="008B736C">
            <w:pPr>
              <w:rPr>
                <w:rFonts w:ascii="Times New Roman" w:hAnsi="Times New Roman" w:cs="Times New Roman"/>
                <w:b w:val="0"/>
                <w:sz w:val="20"/>
                <w:szCs w:val="20"/>
              </w:rPr>
            </w:pPr>
            <w:r w:rsidRPr="008B736C">
              <w:rPr>
                <w:b w:val="0"/>
                <w:sz w:val="20"/>
                <w:szCs w:val="20"/>
              </w:rPr>
              <w:t>Observations</w:t>
            </w:r>
          </w:p>
        </w:tc>
        <w:tc>
          <w:tcPr>
            <w:tcW w:w="1631" w:type="dxa"/>
          </w:tcPr>
          <w:p w:rsidR="008B736C" w:rsidRPr="008B736C" w:rsidRDefault="008B736C" w:rsidP="008B736C">
            <w:pPr>
              <w:jc w:val="center"/>
              <w:cnfStyle w:val="000000000000" w:firstRow="0" w:lastRow="0" w:firstColumn="0" w:lastColumn="0" w:oddVBand="0" w:evenVBand="0" w:oddHBand="0" w:evenHBand="0" w:firstRowFirstColumn="0" w:firstRowLastColumn="0" w:lastRowFirstColumn="0" w:lastRowLastColumn="0"/>
              <w:rPr>
                <w:sz w:val="20"/>
                <w:szCs w:val="20"/>
              </w:rPr>
            </w:pPr>
            <w:r w:rsidRPr="008B736C">
              <w:rPr>
                <w:sz w:val="20"/>
                <w:szCs w:val="20"/>
              </w:rPr>
              <w:t>171</w:t>
            </w:r>
          </w:p>
        </w:tc>
        <w:tc>
          <w:tcPr>
            <w:tcW w:w="2048" w:type="dxa"/>
          </w:tcPr>
          <w:p w:rsidR="008B736C" w:rsidRPr="008B736C" w:rsidRDefault="008B736C" w:rsidP="008B736C">
            <w:pPr>
              <w:jc w:val="center"/>
              <w:cnfStyle w:val="000000000000" w:firstRow="0" w:lastRow="0" w:firstColumn="0" w:lastColumn="0" w:oddVBand="0" w:evenVBand="0" w:oddHBand="0" w:evenHBand="0" w:firstRowFirstColumn="0" w:firstRowLastColumn="0" w:lastRowFirstColumn="0" w:lastRowLastColumn="0"/>
              <w:rPr>
                <w:sz w:val="20"/>
                <w:szCs w:val="20"/>
              </w:rPr>
            </w:pPr>
            <w:r w:rsidRPr="008B736C">
              <w:rPr>
                <w:sz w:val="20"/>
                <w:szCs w:val="20"/>
              </w:rPr>
              <w:t>190</w:t>
            </w:r>
          </w:p>
        </w:tc>
        <w:tc>
          <w:tcPr>
            <w:tcW w:w="2048" w:type="dxa"/>
          </w:tcPr>
          <w:p w:rsidR="008B736C" w:rsidRPr="008B736C" w:rsidRDefault="008B736C" w:rsidP="008B736C">
            <w:pPr>
              <w:jc w:val="center"/>
              <w:cnfStyle w:val="000000000000" w:firstRow="0" w:lastRow="0" w:firstColumn="0" w:lastColumn="0" w:oddVBand="0" w:evenVBand="0" w:oddHBand="0" w:evenHBand="0" w:firstRowFirstColumn="0" w:firstRowLastColumn="0" w:lastRowFirstColumn="0" w:lastRowLastColumn="0"/>
              <w:rPr>
                <w:sz w:val="20"/>
                <w:szCs w:val="20"/>
              </w:rPr>
            </w:pPr>
            <w:r w:rsidRPr="008B736C">
              <w:rPr>
                <w:sz w:val="20"/>
                <w:szCs w:val="20"/>
              </w:rPr>
              <w:t>188</w:t>
            </w:r>
          </w:p>
        </w:tc>
        <w:tc>
          <w:tcPr>
            <w:tcW w:w="1632" w:type="dxa"/>
          </w:tcPr>
          <w:p w:rsidR="008B736C" w:rsidRPr="008B736C" w:rsidRDefault="008B736C" w:rsidP="008B736C">
            <w:pPr>
              <w:jc w:val="center"/>
              <w:cnfStyle w:val="000000000000" w:firstRow="0" w:lastRow="0" w:firstColumn="0" w:lastColumn="0" w:oddVBand="0" w:evenVBand="0" w:oddHBand="0" w:evenHBand="0" w:firstRowFirstColumn="0" w:firstRowLastColumn="0" w:lastRowFirstColumn="0" w:lastRowLastColumn="0"/>
              <w:rPr>
                <w:sz w:val="20"/>
                <w:szCs w:val="20"/>
              </w:rPr>
            </w:pPr>
            <w:r w:rsidRPr="008B736C">
              <w:rPr>
                <w:sz w:val="20"/>
                <w:szCs w:val="20"/>
              </w:rPr>
              <w:t>211</w:t>
            </w:r>
          </w:p>
        </w:tc>
      </w:tr>
    </w:tbl>
    <w:p w:rsidR="00BF06A7" w:rsidRDefault="00B03A57" w:rsidP="00095864">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Note</w:t>
      </w:r>
      <w:r w:rsidR="00C92709">
        <w:rPr>
          <w:rFonts w:ascii="Times New Roman" w:hAnsi="Times New Roman" w:cs="Times New Roman"/>
          <w:sz w:val="20"/>
          <w:szCs w:val="20"/>
        </w:rPr>
        <w:t>s</w:t>
      </w:r>
      <w:r>
        <w:rPr>
          <w:rFonts w:ascii="Times New Roman" w:hAnsi="Times New Roman" w:cs="Times New Roman"/>
          <w:sz w:val="20"/>
          <w:szCs w:val="20"/>
        </w:rPr>
        <w:t xml:space="preserve">: </w:t>
      </w:r>
      <w:r w:rsidRPr="00B03A57">
        <w:rPr>
          <w:rFonts w:ascii="Times New Roman" w:hAnsi="Times New Roman" w:cs="Times New Roman"/>
          <w:sz w:val="20"/>
          <w:szCs w:val="20"/>
          <w:lang w:val="en-US"/>
        </w:rPr>
        <w:t>Statistical significance is indicated by:  ***</w:t>
      </w:r>
      <w:r w:rsidR="008B736C">
        <w:rPr>
          <w:rFonts w:ascii="Times New Roman" w:hAnsi="Times New Roman" w:cs="Times New Roman"/>
          <w:sz w:val="20"/>
          <w:szCs w:val="20"/>
          <w:lang w:val="en-US"/>
        </w:rPr>
        <w:t>*</w:t>
      </w:r>
      <w:r w:rsidRPr="00B03A57">
        <w:rPr>
          <w:rFonts w:ascii="Times New Roman" w:hAnsi="Times New Roman" w:cs="Times New Roman"/>
          <w:sz w:val="20"/>
          <w:szCs w:val="20"/>
          <w:lang w:val="en-US"/>
        </w:rPr>
        <w:t xml:space="preserve"> p &lt;0.0</w:t>
      </w:r>
      <w:r>
        <w:rPr>
          <w:rFonts w:ascii="Times New Roman" w:hAnsi="Times New Roman" w:cs="Times New Roman"/>
          <w:sz w:val="20"/>
          <w:szCs w:val="20"/>
          <w:lang w:val="en-US"/>
        </w:rPr>
        <w:t>01, *</w:t>
      </w:r>
      <w:r w:rsidR="008B736C">
        <w:rPr>
          <w:rFonts w:ascii="Times New Roman" w:hAnsi="Times New Roman" w:cs="Times New Roman"/>
          <w:sz w:val="20"/>
          <w:szCs w:val="20"/>
          <w:lang w:val="en-US"/>
        </w:rPr>
        <w:t>*</w:t>
      </w:r>
      <w:r>
        <w:rPr>
          <w:rFonts w:ascii="Times New Roman" w:hAnsi="Times New Roman" w:cs="Times New Roman"/>
          <w:sz w:val="20"/>
          <w:szCs w:val="20"/>
          <w:lang w:val="en-US"/>
        </w:rPr>
        <w:t>* p &lt;0.01, *</w:t>
      </w:r>
      <w:r w:rsidR="008B736C">
        <w:rPr>
          <w:rFonts w:ascii="Times New Roman" w:hAnsi="Times New Roman" w:cs="Times New Roman"/>
          <w:sz w:val="20"/>
          <w:szCs w:val="20"/>
          <w:lang w:val="en-US"/>
        </w:rPr>
        <w:t>*</w:t>
      </w:r>
      <w:r>
        <w:rPr>
          <w:rFonts w:ascii="Times New Roman" w:hAnsi="Times New Roman" w:cs="Times New Roman"/>
          <w:sz w:val="20"/>
          <w:szCs w:val="20"/>
          <w:lang w:val="en-US"/>
        </w:rPr>
        <w:t xml:space="preserve"> p &lt;0.05</w:t>
      </w:r>
      <w:r w:rsidR="008B736C">
        <w:rPr>
          <w:rFonts w:ascii="Times New Roman" w:hAnsi="Times New Roman" w:cs="Times New Roman"/>
          <w:sz w:val="20"/>
          <w:szCs w:val="20"/>
          <w:lang w:val="en-US"/>
        </w:rPr>
        <w:t>, and * p&lt;0.10</w:t>
      </w:r>
      <w:r w:rsidRPr="00B03A57">
        <w:rPr>
          <w:rFonts w:ascii="Times New Roman" w:hAnsi="Times New Roman" w:cs="Times New Roman"/>
          <w:sz w:val="20"/>
          <w:szCs w:val="20"/>
          <w:lang w:val="en-US"/>
        </w:rPr>
        <w:t>.</w:t>
      </w:r>
      <w:r w:rsidR="00C92709">
        <w:rPr>
          <w:rFonts w:ascii="Times New Roman" w:hAnsi="Times New Roman" w:cs="Times New Roman"/>
          <w:sz w:val="20"/>
          <w:szCs w:val="20"/>
          <w:lang w:val="en-US"/>
        </w:rPr>
        <w:t xml:space="preserve"> 95% confidence intervals in brackets.</w:t>
      </w:r>
    </w:p>
    <w:p w:rsidR="00F57709" w:rsidRDefault="00F57709" w:rsidP="00095864">
      <w:pPr>
        <w:spacing w:after="0" w:line="240" w:lineRule="auto"/>
        <w:rPr>
          <w:rFonts w:ascii="Times New Roman" w:hAnsi="Times New Roman" w:cs="Times New Roman"/>
          <w:sz w:val="20"/>
          <w:szCs w:val="20"/>
          <w:lang w:val="en-US"/>
        </w:rPr>
      </w:pPr>
    </w:p>
    <w:p w:rsidR="00F57709" w:rsidRPr="00095864" w:rsidRDefault="00F57709" w:rsidP="00095864">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The results for transport energy consum</w:t>
      </w:r>
      <w:r w:rsidR="000D6BF9">
        <w:rPr>
          <w:rFonts w:ascii="Times New Roman" w:hAnsi="Times New Roman" w:cs="Times New Roman"/>
          <w:sz w:val="20"/>
          <w:szCs w:val="20"/>
          <w:lang w:val="en-US"/>
        </w:rPr>
        <w:t>ption are mostly similar to th</w:t>
      </w:r>
      <w:r>
        <w:rPr>
          <w:rFonts w:ascii="Times New Roman" w:hAnsi="Times New Roman" w:cs="Times New Roman"/>
          <w:sz w:val="20"/>
          <w:szCs w:val="20"/>
          <w:lang w:val="en-US"/>
        </w:rPr>
        <w:t>e results for total final energy consumption. Yet, the results for industry energy consumption are quite different. For industry, the income elasticity is typically insignificant—both over time-spans and across income quartiles. Given both the variations within the industry sector across OECD countries and the structural changes that ha</w:t>
      </w:r>
      <w:r w:rsidR="000D6BF9">
        <w:rPr>
          <w:rFonts w:ascii="Times New Roman" w:hAnsi="Times New Roman" w:cs="Times New Roman"/>
          <w:sz w:val="20"/>
          <w:szCs w:val="20"/>
          <w:lang w:val="en-US"/>
        </w:rPr>
        <w:t>ve occurred over time, perhaps the</w:t>
      </w:r>
      <w:bookmarkStart w:id="0" w:name="_GoBack"/>
      <w:bookmarkEnd w:id="0"/>
      <w:r>
        <w:rPr>
          <w:rFonts w:ascii="Times New Roman" w:hAnsi="Times New Roman" w:cs="Times New Roman"/>
          <w:sz w:val="20"/>
          <w:szCs w:val="20"/>
          <w:lang w:val="en-US"/>
        </w:rPr>
        <w:t xml:space="preserve"> lack of a robust income-energy demand relationship is not surprising. The next phase of the project is to assemble a similar dataset for non-OECD countries to determine whether leap-frogging has occurred.</w:t>
      </w:r>
    </w:p>
    <w:p w:rsidR="00B02BBF" w:rsidRPr="005640AE" w:rsidRDefault="00087C04" w:rsidP="005640AE">
      <w:pPr>
        <w:pStyle w:val="Heading2"/>
        <w:rPr>
          <w:i w:val="0"/>
          <w:sz w:val="24"/>
          <w:szCs w:val="24"/>
        </w:rPr>
      </w:pPr>
      <w:r w:rsidRPr="00D767DA">
        <w:rPr>
          <w:i w:val="0"/>
          <w:sz w:val="24"/>
          <w:szCs w:val="24"/>
        </w:rPr>
        <w:t>References</w:t>
      </w:r>
    </w:p>
    <w:p w:rsidR="000B3CEC" w:rsidRPr="000B3CEC" w:rsidRDefault="000B3CEC" w:rsidP="000B3CEC">
      <w:pPr>
        <w:spacing w:after="0" w:line="240" w:lineRule="auto"/>
        <w:rPr>
          <w:rFonts w:ascii="Times New Roman" w:hAnsi="Times New Roman" w:cs="Times New Roman"/>
          <w:sz w:val="20"/>
          <w:szCs w:val="20"/>
          <w:lang w:val="en-US"/>
        </w:rPr>
      </w:pPr>
      <w:r w:rsidRPr="000B3CEC">
        <w:rPr>
          <w:rFonts w:ascii="Times New Roman" w:hAnsi="Times New Roman" w:cs="Times New Roman"/>
          <w:sz w:val="20"/>
          <w:szCs w:val="20"/>
          <w:lang w:val="en-US"/>
        </w:rPr>
        <w:t>Baade P. International energy evaluation system, International energy prices 1955-1980. US Department of Energy, Service Report 81-21: 1981.</w:t>
      </w:r>
    </w:p>
    <w:p w:rsidR="000B3CEC" w:rsidRDefault="000B3CEC" w:rsidP="00F741D8">
      <w:pPr>
        <w:spacing w:after="0" w:line="240" w:lineRule="auto"/>
        <w:rPr>
          <w:rFonts w:ascii="Times New Roman" w:hAnsi="Times New Roman" w:cs="Times New Roman"/>
          <w:sz w:val="20"/>
          <w:szCs w:val="20"/>
          <w:lang w:val="en-US"/>
        </w:rPr>
      </w:pPr>
    </w:p>
    <w:p w:rsidR="000C0248" w:rsidRPr="000C0248" w:rsidRDefault="000C0248" w:rsidP="000C0248">
      <w:pPr>
        <w:spacing w:after="0" w:line="240" w:lineRule="auto"/>
        <w:rPr>
          <w:rFonts w:ascii="Times New Roman" w:hAnsi="Times New Roman" w:cs="Times New Roman"/>
          <w:sz w:val="20"/>
          <w:szCs w:val="20"/>
          <w:lang w:val="en-US"/>
        </w:rPr>
      </w:pPr>
      <w:r w:rsidRPr="000C0248">
        <w:rPr>
          <w:rFonts w:ascii="Times New Roman" w:hAnsi="Times New Roman" w:cs="Times New Roman"/>
          <w:sz w:val="20"/>
          <w:szCs w:val="20"/>
          <w:lang w:val="en-US"/>
        </w:rPr>
        <w:t>Chudik, A. and Pesaran, M. 2015. Common correlated effects estimation of heterogeneous dynamic panel data models with weakly exogenous regressions. Journal of Econometrics 188(2), 393-420.</w:t>
      </w:r>
    </w:p>
    <w:p w:rsidR="000C0248" w:rsidRDefault="000C0248" w:rsidP="00F741D8">
      <w:pPr>
        <w:spacing w:after="0" w:line="240" w:lineRule="auto"/>
        <w:rPr>
          <w:rFonts w:ascii="Times New Roman" w:hAnsi="Times New Roman" w:cs="Times New Roman"/>
          <w:sz w:val="20"/>
          <w:szCs w:val="20"/>
          <w:lang w:val="en-US"/>
        </w:rPr>
      </w:pPr>
    </w:p>
    <w:p w:rsidR="00F741D8" w:rsidRDefault="00D41586" w:rsidP="00F741D8">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Judson, R., Schalensee, R., and Stoker, T. 1999. Economic development and the structure of the demand of commercial energy. The Energy Journal, 20 (2), 29-57.</w:t>
      </w:r>
    </w:p>
    <w:p w:rsidR="00D41586" w:rsidRDefault="00D41586" w:rsidP="00F741D8">
      <w:pPr>
        <w:spacing w:after="0" w:line="240" w:lineRule="auto"/>
        <w:rPr>
          <w:rFonts w:ascii="Times New Roman" w:hAnsi="Times New Roman" w:cs="Times New Roman"/>
          <w:sz w:val="20"/>
          <w:szCs w:val="20"/>
          <w:lang w:val="en-US"/>
        </w:rPr>
      </w:pPr>
    </w:p>
    <w:p w:rsidR="00D41586" w:rsidRDefault="00D41586" w:rsidP="00F741D8">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Medlock, K. and Soligo, R. 2001. Economic development and end-use energy demand. The Energy Journal 22 (2), 77-105.</w:t>
      </w:r>
    </w:p>
    <w:p w:rsidR="00D41586" w:rsidRDefault="00D41586" w:rsidP="00F741D8">
      <w:pPr>
        <w:spacing w:after="0" w:line="240" w:lineRule="auto"/>
        <w:rPr>
          <w:rFonts w:ascii="Times New Roman" w:hAnsi="Times New Roman" w:cs="Times New Roman"/>
          <w:sz w:val="20"/>
          <w:szCs w:val="20"/>
          <w:lang w:val="en-US"/>
        </w:rPr>
      </w:pPr>
    </w:p>
    <w:p w:rsidR="00D41586" w:rsidRPr="00F741D8" w:rsidRDefault="00D41586" w:rsidP="00F741D8">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van Benthem, A. and Romani, M. 2009. Fuelling growth: What drives energy demand in developing countries? The Energy Journal, 30 (3), 91-114. </w:t>
      </w:r>
    </w:p>
    <w:p w:rsidR="00087C04" w:rsidRPr="00087C04" w:rsidRDefault="00087C04" w:rsidP="00087C04">
      <w:pPr>
        <w:spacing w:after="0" w:line="240" w:lineRule="auto"/>
        <w:rPr>
          <w:rFonts w:ascii="Times New Roman" w:hAnsi="Times New Roman" w:cs="Times New Roman"/>
          <w:sz w:val="20"/>
          <w:szCs w:val="20"/>
        </w:rPr>
      </w:pPr>
    </w:p>
    <w:sectPr w:rsidR="00087C04" w:rsidRPr="00087C04" w:rsidSect="00E772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99F" w:rsidRDefault="004B699F" w:rsidP="00FC483E">
      <w:pPr>
        <w:spacing w:after="0" w:line="240" w:lineRule="auto"/>
      </w:pPr>
      <w:r>
        <w:separator/>
      </w:r>
    </w:p>
  </w:endnote>
  <w:endnote w:type="continuationSeparator" w:id="0">
    <w:p w:rsidR="004B699F" w:rsidRDefault="004B699F" w:rsidP="00FC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99F" w:rsidRDefault="004B699F" w:rsidP="00FC483E">
      <w:pPr>
        <w:spacing w:after="0" w:line="240" w:lineRule="auto"/>
      </w:pPr>
      <w:r>
        <w:separator/>
      </w:r>
    </w:p>
  </w:footnote>
  <w:footnote w:type="continuationSeparator" w:id="0">
    <w:p w:rsidR="004B699F" w:rsidRDefault="004B699F" w:rsidP="00FC48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C04"/>
    <w:rsid w:val="0004267B"/>
    <w:rsid w:val="00061885"/>
    <w:rsid w:val="00087C04"/>
    <w:rsid w:val="00095864"/>
    <w:rsid w:val="0009674E"/>
    <w:rsid w:val="000B3CEC"/>
    <w:rsid w:val="000C0248"/>
    <w:rsid w:val="000D6BF9"/>
    <w:rsid w:val="00195B81"/>
    <w:rsid w:val="00212612"/>
    <w:rsid w:val="003B2275"/>
    <w:rsid w:val="003C0DF0"/>
    <w:rsid w:val="00412375"/>
    <w:rsid w:val="004B699F"/>
    <w:rsid w:val="005640AE"/>
    <w:rsid w:val="005A118F"/>
    <w:rsid w:val="006176E7"/>
    <w:rsid w:val="006C6BAA"/>
    <w:rsid w:val="00795F27"/>
    <w:rsid w:val="007F680F"/>
    <w:rsid w:val="007F72CC"/>
    <w:rsid w:val="00815458"/>
    <w:rsid w:val="00840576"/>
    <w:rsid w:val="008B736C"/>
    <w:rsid w:val="008E013D"/>
    <w:rsid w:val="00902332"/>
    <w:rsid w:val="00951FA0"/>
    <w:rsid w:val="009F1E23"/>
    <w:rsid w:val="00A2751B"/>
    <w:rsid w:val="00AA68B9"/>
    <w:rsid w:val="00AB6DC1"/>
    <w:rsid w:val="00B02BBF"/>
    <w:rsid w:val="00B03A57"/>
    <w:rsid w:val="00B23586"/>
    <w:rsid w:val="00B97D63"/>
    <w:rsid w:val="00BF06A7"/>
    <w:rsid w:val="00C92709"/>
    <w:rsid w:val="00D07BC4"/>
    <w:rsid w:val="00D27004"/>
    <w:rsid w:val="00D41586"/>
    <w:rsid w:val="00D55143"/>
    <w:rsid w:val="00DB6582"/>
    <w:rsid w:val="00DC06D9"/>
    <w:rsid w:val="00DE0FCF"/>
    <w:rsid w:val="00DF7B7B"/>
    <w:rsid w:val="00E25171"/>
    <w:rsid w:val="00E5201F"/>
    <w:rsid w:val="00E74226"/>
    <w:rsid w:val="00E772F5"/>
    <w:rsid w:val="00F3285A"/>
    <w:rsid w:val="00F469BE"/>
    <w:rsid w:val="00F57709"/>
    <w:rsid w:val="00F741D8"/>
    <w:rsid w:val="00FC483E"/>
    <w:rsid w:val="00FD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D8F0D6-8D94-4AA2-899A-C4FAF242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2F5"/>
  </w:style>
  <w:style w:type="paragraph" w:styleId="Heading2">
    <w:name w:val="heading 2"/>
    <w:basedOn w:val="Normal"/>
    <w:next w:val="Normal"/>
    <w:link w:val="Heading2Char"/>
    <w:qFormat/>
    <w:rsid w:val="00087C04"/>
    <w:pPr>
      <w:keepNext/>
      <w:spacing w:before="240" w:after="60" w:line="240" w:lineRule="auto"/>
      <w:outlineLvl w:val="1"/>
    </w:pPr>
    <w:rPr>
      <w:rFonts w:ascii="Arial" w:eastAsia="Times New Roman" w:hAnsi="Arial" w:cs="Times New Roman"/>
      <w:b/>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C04"/>
    <w:rPr>
      <w:color w:val="0000FF" w:themeColor="hyperlink"/>
      <w:u w:val="single"/>
    </w:rPr>
  </w:style>
  <w:style w:type="character" w:customStyle="1" w:styleId="Heading2Char">
    <w:name w:val="Heading 2 Char"/>
    <w:basedOn w:val="DefaultParagraphFont"/>
    <w:link w:val="Heading2"/>
    <w:rsid w:val="00087C04"/>
    <w:rPr>
      <w:rFonts w:ascii="Arial" w:eastAsia="Times New Roman" w:hAnsi="Arial" w:cs="Times New Roman"/>
      <w:b/>
      <w:i/>
      <w:szCs w:val="20"/>
      <w:lang w:val="en-GB"/>
    </w:rPr>
  </w:style>
  <w:style w:type="character" w:styleId="FootnoteReference">
    <w:name w:val="footnote reference"/>
    <w:basedOn w:val="DefaultParagraphFont"/>
    <w:uiPriority w:val="99"/>
    <w:semiHidden/>
    <w:rsid w:val="00FC483E"/>
    <w:rPr>
      <w:rFonts w:cs="Times New Roman"/>
      <w:vertAlign w:val="superscript"/>
    </w:rPr>
  </w:style>
  <w:style w:type="paragraph" w:styleId="FootnoteText">
    <w:name w:val="footnote text"/>
    <w:basedOn w:val="Normal"/>
    <w:link w:val="FootnoteTextChar"/>
    <w:uiPriority w:val="99"/>
    <w:semiHidden/>
    <w:unhideWhenUsed/>
    <w:rsid w:val="00FC483E"/>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FC483E"/>
    <w:rPr>
      <w:rFonts w:ascii="Calibri" w:eastAsia="Calibri" w:hAnsi="Calibri" w:cs="Times New Roman"/>
      <w:sz w:val="20"/>
      <w:szCs w:val="20"/>
      <w:lang w:val="en-US"/>
    </w:rPr>
  </w:style>
  <w:style w:type="table" w:styleId="TableGrid">
    <w:name w:val="Table Grid"/>
    <w:basedOn w:val="TableNormal"/>
    <w:uiPriority w:val="39"/>
    <w:rsid w:val="00D55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D5514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tliddle@alum.mit.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esilbt\Desktop\my%20stuff\New\replication\L&amp;L%20EJ.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Long-run</a:t>
            </a:r>
            <a:r>
              <a:rPr lang="en-US" baseline="0"/>
              <a:t> Icome Elasticity of Energy Demand</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0373578302712143E-2"/>
          <c:y val="0.12510273220252754"/>
          <c:w val="0.88890507436570432"/>
          <c:h val="0.8587665198237886"/>
        </c:manualLayout>
      </c:layout>
      <c:stockChart>
        <c:ser>
          <c:idx val="0"/>
          <c:order val="0"/>
          <c:spPr>
            <a:ln w="19050" cap="rnd">
              <a:noFill/>
              <a:round/>
            </a:ln>
            <a:effectLst/>
          </c:spPr>
          <c:marker>
            <c:symbol val="none"/>
          </c:marker>
          <c:cat>
            <c:strRef>
              <c:f>Sheet5!$S$5:$S$17</c:f>
              <c:strCache>
                <c:ptCount val="13"/>
                <c:pt idx="0">
                  <c:v>60-85</c:v>
                </c:pt>
                <c:pt idx="1">
                  <c:v>63-88</c:v>
                </c:pt>
                <c:pt idx="2">
                  <c:v>65-90</c:v>
                </c:pt>
                <c:pt idx="3">
                  <c:v>68-93</c:v>
                </c:pt>
                <c:pt idx="4">
                  <c:v>70-95</c:v>
                </c:pt>
                <c:pt idx="5">
                  <c:v>72-97</c:v>
                </c:pt>
                <c:pt idx="6">
                  <c:v>75-2000</c:v>
                </c:pt>
                <c:pt idx="7">
                  <c:v>77-2002</c:v>
                </c:pt>
                <c:pt idx="8">
                  <c:v>80-2005</c:v>
                </c:pt>
                <c:pt idx="9">
                  <c:v>83-2008</c:v>
                </c:pt>
                <c:pt idx="10">
                  <c:v>85-2010</c:v>
                </c:pt>
                <c:pt idx="11">
                  <c:v>87-2012</c:v>
                </c:pt>
                <c:pt idx="12">
                  <c:v>90-2014</c:v>
                </c:pt>
              </c:strCache>
            </c:strRef>
          </c:cat>
          <c:val>
            <c:numRef>
              <c:f>Sheet5!$AA$5:$AA$17</c:f>
              <c:numCache>
                <c:formatCode>General</c:formatCode>
                <c:ptCount val="13"/>
                <c:pt idx="0">
                  <c:v>0.93703919999999996</c:v>
                </c:pt>
                <c:pt idx="1">
                  <c:v>0.84992659999999998</c:v>
                </c:pt>
                <c:pt idx="2">
                  <c:v>0.92341189999999995</c:v>
                </c:pt>
                <c:pt idx="3">
                  <c:v>0.90730310000000003</c:v>
                </c:pt>
                <c:pt idx="4">
                  <c:v>1.1390549999999999</c:v>
                </c:pt>
                <c:pt idx="5">
                  <c:v>0.96593759999999995</c:v>
                </c:pt>
                <c:pt idx="6">
                  <c:v>0.66634870000000002</c:v>
                </c:pt>
                <c:pt idx="7">
                  <c:v>0.95545849999999999</c:v>
                </c:pt>
                <c:pt idx="8">
                  <c:v>0.79522440000000005</c:v>
                </c:pt>
                <c:pt idx="9">
                  <c:v>0.92066749999999997</c:v>
                </c:pt>
                <c:pt idx="10">
                  <c:v>1.1125700000000001</c:v>
                </c:pt>
                <c:pt idx="11">
                  <c:v>1.16408</c:v>
                </c:pt>
                <c:pt idx="12">
                  <c:v>1.078119</c:v>
                </c:pt>
              </c:numCache>
            </c:numRef>
          </c:val>
          <c:smooth val="0"/>
        </c:ser>
        <c:ser>
          <c:idx val="1"/>
          <c:order val="1"/>
          <c:spPr>
            <a:ln w="19050" cap="rnd">
              <a:noFill/>
              <a:round/>
            </a:ln>
            <a:effectLst/>
          </c:spPr>
          <c:marker>
            <c:symbol val="none"/>
          </c:marker>
          <c:cat>
            <c:strRef>
              <c:f>Sheet5!$S$5:$S$17</c:f>
              <c:strCache>
                <c:ptCount val="13"/>
                <c:pt idx="0">
                  <c:v>60-85</c:v>
                </c:pt>
                <c:pt idx="1">
                  <c:v>63-88</c:v>
                </c:pt>
                <c:pt idx="2">
                  <c:v>65-90</c:v>
                </c:pt>
                <c:pt idx="3">
                  <c:v>68-93</c:v>
                </c:pt>
                <c:pt idx="4">
                  <c:v>70-95</c:v>
                </c:pt>
                <c:pt idx="5">
                  <c:v>72-97</c:v>
                </c:pt>
                <c:pt idx="6">
                  <c:v>75-2000</c:v>
                </c:pt>
                <c:pt idx="7">
                  <c:v>77-2002</c:v>
                </c:pt>
                <c:pt idx="8">
                  <c:v>80-2005</c:v>
                </c:pt>
                <c:pt idx="9">
                  <c:v>83-2008</c:v>
                </c:pt>
                <c:pt idx="10">
                  <c:v>85-2010</c:v>
                </c:pt>
                <c:pt idx="11">
                  <c:v>87-2012</c:v>
                </c:pt>
                <c:pt idx="12">
                  <c:v>90-2014</c:v>
                </c:pt>
              </c:strCache>
            </c:strRef>
          </c:cat>
          <c:val>
            <c:numRef>
              <c:f>Sheet5!$AB$5:$AB$17</c:f>
              <c:numCache>
                <c:formatCode>General</c:formatCode>
                <c:ptCount val="13"/>
                <c:pt idx="0">
                  <c:v>0.39261760000000001</c:v>
                </c:pt>
                <c:pt idx="1">
                  <c:v>0.3241424</c:v>
                </c:pt>
                <c:pt idx="2">
                  <c:v>0.38225439999999999</c:v>
                </c:pt>
                <c:pt idx="3">
                  <c:v>0.28325109999999998</c:v>
                </c:pt>
                <c:pt idx="4">
                  <c:v>0.38796310000000001</c:v>
                </c:pt>
                <c:pt idx="5">
                  <c:v>0.14452889999999999</c:v>
                </c:pt>
                <c:pt idx="6">
                  <c:v>3.6977500000000003E-2</c:v>
                </c:pt>
                <c:pt idx="7">
                  <c:v>-5.3200000000000003E-4</c:v>
                </c:pt>
                <c:pt idx="8">
                  <c:v>-0.32111469999999998</c:v>
                </c:pt>
                <c:pt idx="9">
                  <c:v>-7.4829499999999993E-2</c:v>
                </c:pt>
                <c:pt idx="10">
                  <c:v>7.8413300000000005E-2</c:v>
                </c:pt>
                <c:pt idx="11">
                  <c:v>7.9498399999999997E-2</c:v>
                </c:pt>
                <c:pt idx="12">
                  <c:v>0.37582009999999999</c:v>
                </c:pt>
              </c:numCache>
            </c:numRef>
          </c:val>
          <c:smooth val="0"/>
        </c:ser>
        <c:ser>
          <c:idx val="2"/>
          <c:order val="2"/>
          <c:spPr>
            <a:ln w="19050" cap="rnd">
              <a:noFill/>
              <a:round/>
            </a:ln>
            <a:effectLst/>
          </c:spPr>
          <c:marker>
            <c:symbol val="dot"/>
            <c:size val="7"/>
            <c:spPr>
              <a:solidFill>
                <a:schemeClr val="accent3">
                  <a:lumMod val="50000"/>
                </a:schemeClr>
              </a:solidFill>
              <a:ln w="19050">
                <a:solidFill>
                  <a:schemeClr val="accent3"/>
                </a:solidFill>
              </a:ln>
              <a:effectLst/>
            </c:spPr>
          </c:marker>
          <c:cat>
            <c:strRef>
              <c:f>Sheet5!$S$5:$S$17</c:f>
              <c:strCache>
                <c:ptCount val="13"/>
                <c:pt idx="0">
                  <c:v>60-85</c:v>
                </c:pt>
                <c:pt idx="1">
                  <c:v>63-88</c:v>
                </c:pt>
                <c:pt idx="2">
                  <c:v>65-90</c:v>
                </c:pt>
                <c:pt idx="3">
                  <c:v>68-93</c:v>
                </c:pt>
                <c:pt idx="4">
                  <c:v>70-95</c:v>
                </c:pt>
                <c:pt idx="5">
                  <c:v>72-97</c:v>
                </c:pt>
                <c:pt idx="6">
                  <c:v>75-2000</c:v>
                </c:pt>
                <c:pt idx="7">
                  <c:v>77-2002</c:v>
                </c:pt>
                <c:pt idx="8">
                  <c:v>80-2005</c:v>
                </c:pt>
                <c:pt idx="9">
                  <c:v>83-2008</c:v>
                </c:pt>
                <c:pt idx="10">
                  <c:v>85-2010</c:v>
                </c:pt>
                <c:pt idx="11">
                  <c:v>87-2012</c:v>
                </c:pt>
                <c:pt idx="12">
                  <c:v>90-2014</c:v>
                </c:pt>
              </c:strCache>
            </c:strRef>
          </c:cat>
          <c:val>
            <c:numRef>
              <c:f>Sheet5!$AC$5:$AC$17</c:f>
              <c:numCache>
                <c:formatCode>General</c:formatCode>
                <c:ptCount val="13"/>
                <c:pt idx="0">
                  <c:v>0.66482839999999999</c:v>
                </c:pt>
                <c:pt idx="1">
                  <c:v>0.58703450000000001</c:v>
                </c:pt>
                <c:pt idx="2">
                  <c:v>0.6528332</c:v>
                </c:pt>
                <c:pt idx="3">
                  <c:v>0.5952771</c:v>
                </c:pt>
                <c:pt idx="4">
                  <c:v>0.76350890000000005</c:v>
                </c:pt>
                <c:pt idx="5">
                  <c:v>0.55523319999999998</c:v>
                </c:pt>
                <c:pt idx="6">
                  <c:v>0.35166310000000001</c:v>
                </c:pt>
                <c:pt idx="7">
                  <c:v>0.47746329999999998</c:v>
                </c:pt>
                <c:pt idx="8">
                  <c:v>0.23705490000000001</c:v>
                </c:pt>
                <c:pt idx="9">
                  <c:v>0.42291899999999999</c:v>
                </c:pt>
                <c:pt idx="10">
                  <c:v>0.59549169999999996</c:v>
                </c:pt>
                <c:pt idx="11">
                  <c:v>0.62178940000000005</c:v>
                </c:pt>
                <c:pt idx="12">
                  <c:v>0.7269698</c:v>
                </c:pt>
              </c:numCache>
            </c:numRef>
          </c:val>
          <c:smooth val="0"/>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axId val="1189984048"/>
        <c:axId val="1189974800"/>
      </c:stockChart>
      <c:catAx>
        <c:axId val="1189984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9974800"/>
        <c:crosses val="autoZero"/>
        <c:auto val="1"/>
        <c:lblAlgn val="ctr"/>
        <c:lblOffset val="100"/>
        <c:noMultiLvlLbl val="0"/>
      </c:catAx>
      <c:valAx>
        <c:axId val="1189974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9984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Brantley Thomas Liddle</dc:creator>
  <cp:lastModifiedBy>Liddle Brantley Thomas</cp:lastModifiedBy>
  <cp:revision>5</cp:revision>
  <dcterms:created xsi:type="dcterms:W3CDTF">2017-05-22T06:21:00Z</dcterms:created>
  <dcterms:modified xsi:type="dcterms:W3CDTF">2017-05-24T01:10:00Z</dcterms:modified>
</cp:coreProperties>
</file>