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B2CC" w14:textId="77777777" w:rsidR="00DC69F1" w:rsidRDefault="00DC69F1" w:rsidP="00214356">
      <w:pPr>
        <w:framePr w:w="10800" w:h="2851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50BBF6ED" w14:textId="77777777" w:rsidR="00DC69F1" w:rsidRDefault="00EA7CB2" w:rsidP="00214356">
      <w:pPr>
        <w:pStyle w:val="BodyText"/>
        <w:framePr w:w="10800" w:h="2851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Life Cycle </w:t>
      </w:r>
      <w:r w:rsidR="00A85EDD">
        <w:rPr>
          <w:b/>
          <w:i/>
          <w:caps/>
          <w:sz w:val="28"/>
          <w:szCs w:val="28"/>
        </w:rPr>
        <w:t xml:space="preserve">Air </w:t>
      </w:r>
      <w:r>
        <w:rPr>
          <w:b/>
          <w:i/>
          <w:caps/>
          <w:sz w:val="28"/>
          <w:szCs w:val="28"/>
        </w:rPr>
        <w:t>Emissions Externalit</w:t>
      </w:r>
      <w:r w:rsidR="007A0CA9">
        <w:rPr>
          <w:b/>
          <w:i/>
          <w:caps/>
          <w:sz w:val="28"/>
          <w:szCs w:val="28"/>
        </w:rPr>
        <w:t xml:space="preserve">y Implications of Electric Vehicle Adoption in the </w:t>
      </w:r>
      <w:r w:rsidR="00371FDB">
        <w:rPr>
          <w:b/>
          <w:i/>
          <w:caps/>
          <w:sz w:val="28"/>
          <w:szCs w:val="28"/>
        </w:rPr>
        <w:t>U.S.: A Comparison of Empirical and Normative</w:t>
      </w:r>
      <w:r w:rsidR="00DE78C0">
        <w:rPr>
          <w:b/>
          <w:i/>
          <w:caps/>
          <w:sz w:val="28"/>
          <w:szCs w:val="28"/>
        </w:rPr>
        <w:t xml:space="preserve"> Approaches</w:t>
      </w:r>
    </w:p>
    <w:p w14:paraId="55FCD27D" w14:textId="77777777" w:rsidR="009F4817" w:rsidRDefault="009F4817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</w:p>
    <w:p w14:paraId="5F23F0EE" w14:textId="77777777" w:rsidR="00EA7CB2" w:rsidRDefault="00EA7CB2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Paulina Jaramillo, Carnegie Mellon University,</w:t>
      </w:r>
      <w:r w:rsidR="0040129F">
        <w:rPr>
          <w:sz w:val="20"/>
        </w:rPr>
        <w:t xml:space="preserve"> (412)268-6655, </w:t>
      </w:r>
      <w:hyperlink r:id="rId8" w:history="1">
        <w:r w:rsidR="0040129F" w:rsidRPr="008E3041">
          <w:rPr>
            <w:rStyle w:val="Hyperlink"/>
            <w:sz w:val="20"/>
          </w:rPr>
          <w:t>paulina@cmu.edu</w:t>
        </w:r>
      </w:hyperlink>
      <w:r w:rsidR="0040129F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00DECD68" w14:textId="77777777" w:rsidR="009F4817" w:rsidRDefault="009F4817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Jeremy Michalek, Carnegie Mellon University, (412)268-3765, </w:t>
      </w:r>
      <w:hyperlink r:id="rId9" w:history="1">
        <w:r w:rsidR="007A0CA9" w:rsidRPr="00265908">
          <w:rPr>
            <w:rStyle w:val="Hyperlink"/>
            <w:sz w:val="20"/>
          </w:rPr>
          <w:t>jmichalek@cmu.edu</w:t>
        </w:r>
      </w:hyperlink>
    </w:p>
    <w:p w14:paraId="7E7AB451" w14:textId="77777777" w:rsidR="007A0CA9" w:rsidRDefault="007A0CA9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Allison Weis</w:t>
      </w:r>
      <w:r w:rsidR="00214356">
        <w:rPr>
          <w:sz w:val="20"/>
        </w:rPr>
        <w:t>, Carnegie Mellon University (now at Tesla Motors)</w:t>
      </w:r>
      <w:r w:rsidR="00D72391">
        <w:rPr>
          <w:sz w:val="20"/>
        </w:rPr>
        <w:t xml:space="preserve">, </w:t>
      </w:r>
      <w:hyperlink r:id="rId10" w:history="1">
        <w:r w:rsidR="00D72391" w:rsidRPr="008E3041">
          <w:rPr>
            <w:rStyle w:val="Hyperlink"/>
            <w:sz w:val="20"/>
          </w:rPr>
          <w:t>kazakia@gmail.com</w:t>
        </w:r>
      </w:hyperlink>
      <w:r w:rsidR="00D72391">
        <w:rPr>
          <w:sz w:val="20"/>
        </w:rPr>
        <w:t xml:space="preserve"> </w:t>
      </w:r>
    </w:p>
    <w:p w14:paraId="446487B4" w14:textId="77777777" w:rsidR="007A0CA9" w:rsidRDefault="00FA28CD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Inê</w:t>
      </w:r>
      <w:r w:rsidR="007A0CA9">
        <w:rPr>
          <w:sz w:val="20"/>
        </w:rPr>
        <w:t>s Azevedo</w:t>
      </w:r>
      <w:r w:rsidR="00214356">
        <w:rPr>
          <w:sz w:val="20"/>
        </w:rPr>
        <w:t>, Carnegie Mellon University,</w:t>
      </w:r>
      <w:r w:rsidR="00761E6E">
        <w:rPr>
          <w:sz w:val="20"/>
        </w:rPr>
        <w:t xml:space="preserve"> (412)268-3754, </w:t>
      </w:r>
      <w:hyperlink r:id="rId11" w:history="1">
        <w:r w:rsidR="00761E6E" w:rsidRPr="008E3041">
          <w:rPr>
            <w:rStyle w:val="Hyperlink"/>
            <w:sz w:val="20"/>
          </w:rPr>
          <w:t>iazevedo@cmu.edu</w:t>
        </w:r>
      </w:hyperlink>
      <w:r w:rsidR="00761E6E">
        <w:rPr>
          <w:sz w:val="20"/>
        </w:rPr>
        <w:t xml:space="preserve"> </w:t>
      </w:r>
      <w:r w:rsidR="00214356">
        <w:rPr>
          <w:sz w:val="20"/>
        </w:rPr>
        <w:t xml:space="preserve"> </w:t>
      </w:r>
    </w:p>
    <w:p w14:paraId="5FB6E891" w14:textId="77777777" w:rsidR="007A0CA9" w:rsidRDefault="007A0CA9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Mili-Ann Tamayao</w:t>
      </w:r>
      <w:r w:rsidR="00214356">
        <w:rPr>
          <w:sz w:val="20"/>
        </w:rPr>
        <w:t>, Carnegie Mellon University (now at University of the Philippines)</w:t>
      </w:r>
      <w:r w:rsidR="00D72391">
        <w:rPr>
          <w:sz w:val="20"/>
        </w:rPr>
        <w:t xml:space="preserve">, </w:t>
      </w:r>
      <w:hyperlink r:id="rId12" w:history="1">
        <w:r w:rsidR="00D72391" w:rsidRPr="008E3041">
          <w:rPr>
            <w:rStyle w:val="Hyperlink"/>
            <w:sz w:val="20"/>
          </w:rPr>
          <w:t>mamtamayao@gmail.com</w:t>
        </w:r>
      </w:hyperlink>
      <w:r w:rsidR="00D72391">
        <w:rPr>
          <w:sz w:val="20"/>
        </w:rPr>
        <w:t xml:space="preserve"> </w:t>
      </w:r>
    </w:p>
    <w:p w14:paraId="0704FD43" w14:textId="77777777" w:rsidR="007A0CA9" w:rsidRDefault="007A0CA9" w:rsidP="00214356">
      <w:pPr>
        <w:pStyle w:val="BodyText"/>
        <w:framePr w:w="10800" w:h="285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Chris Hendrickson</w:t>
      </w:r>
      <w:r w:rsidR="00214356">
        <w:rPr>
          <w:sz w:val="20"/>
        </w:rPr>
        <w:t xml:space="preserve">, Carnegie Mellon University, </w:t>
      </w:r>
      <w:r w:rsidR="00761E6E">
        <w:rPr>
          <w:sz w:val="20"/>
        </w:rPr>
        <w:t xml:space="preserve">(412)268-1066, </w:t>
      </w:r>
      <w:hyperlink r:id="rId13" w:history="1">
        <w:r w:rsidR="00761E6E" w:rsidRPr="008E3041">
          <w:rPr>
            <w:rStyle w:val="Hyperlink"/>
            <w:sz w:val="20"/>
          </w:rPr>
          <w:t>cth@cmu.edu</w:t>
        </w:r>
      </w:hyperlink>
      <w:r w:rsidR="00761E6E">
        <w:rPr>
          <w:sz w:val="20"/>
        </w:rPr>
        <w:t xml:space="preserve"> </w:t>
      </w:r>
    </w:p>
    <w:p w14:paraId="6574AD1C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4821E6BC" w14:textId="77777777" w:rsidR="007A0CA9" w:rsidRPr="002F2FD1" w:rsidRDefault="007A0CA9" w:rsidP="00DC69F1">
      <w:pPr>
        <w:pStyle w:val="BodyText2"/>
        <w:spacing w:after="200"/>
      </w:pPr>
      <w:r w:rsidRPr="002F2FD1">
        <w:t xml:space="preserve">Emissions </w:t>
      </w:r>
      <w:r w:rsidR="00A67A79">
        <w:t>accounting for electric vehicle charging</w:t>
      </w:r>
      <w:r w:rsidRPr="002F2FD1">
        <w:t xml:space="preserve"> </w:t>
      </w:r>
      <w:r w:rsidR="00FA28CD">
        <w:t>is handled differently depending</w:t>
      </w:r>
      <w:r w:rsidRPr="002F2FD1">
        <w:t xml:space="preserve"> on the question being asked. The question “What emissions are EVs responsible for?” is an allocation question that requires a value judgement; </w:t>
      </w:r>
      <w:r w:rsidR="00214356">
        <w:t>prior studies have</w:t>
      </w:r>
      <w:r w:rsidRPr="002F2FD1">
        <w:t xml:space="preserve"> decide</w:t>
      </w:r>
      <w:r w:rsidR="00214356">
        <w:t>d</w:t>
      </w:r>
      <w:r w:rsidRPr="002F2FD1">
        <w:t xml:space="preserve"> that electric vehicles should be responsible for emissions associated with the average or marginal generation mix in</w:t>
      </w:r>
      <w:r w:rsidR="00D42A88">
        <w:t xml:space="preserve"> the vehicle’s</w:t>
      </w:r>
      <w:r w:rsidRPr="002F2FD1">
        <w:t xml:space="preserve"> state, balancing region, NERC region, eGRID subregion, interconnect, or country. In contrast, the question “What are the emissions</w:t>
      </w:r>
      <w:r w:rsidR="00FA28CD">
        <w:t xml:space="preserve"> implications of EV adoption</w:t>
      </w:r>
      <w:r w:rsidRPr="002F2FD1">
        <w:t xml:space="preserve">?” is a consequential question for which </w:t>
      </w:r>
      <w:r w:rsidR="00D42A88">
        <w:t>the analyst must assess</w:t>
      </w:r>
      <w:r w:rsidRPr="002F2FD1">
        <w:t xml:space="preserve"> how the power grid will change in response to new EV load at a particular location and time.</w:t>
      </w:r>
    </w:p>
    <w:p w14:paraId="579D92C9" w14:textId="77777777" w:rsidR="00D42A88" w:rsidRDefault="00D42A88" w:rsidP="00D42A88">
      <w:pPr>
        <w:pStyle w:val="BodyText2"/>
        <w:spacing w:after="200"/>
      </w:pPr>
      <w:r w:rsidRPr="002F2FD1">
        <w:t xml:space="preserve">We compare </w:t>
      </w:r>
      <w:r w:rsidR="00A67A79">
        <w:t xml:space="preserve">empirical </w:t>
      </w:r>
      <w:r w:rsidRPr="002F2FD1">
        <w:t xml:space="preserve">top-down and </w:t>
      </w:r>
      <w:r w:rsidR="00A67A79">
        <w:t xml:space="preserve">normative </w:t>
      </w:r>
      <w:r w:rsidRPr="002F2FD1">
        <w:t>bottom-up approaches to answering the latter question in the United States</w:t>
      </w:r>
      <w:r>
        <w:t xml:space="preserve"> on a life cycle basis</w:t>
      </w:r>
      <w:r w:rsidRPr="002F2FD1">
        <w:t xml:space="preserve">. </w:t>
      </w:r>
    </w:p>
    <w:p w14:paraId="531516B7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6B154152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2977D4A3" w14:textId="77777777" w:rsidR="002F2FD1" w:rsidRDefault="002F2FD1" w:rsidP="002F2FD1">
      <w:pPr>
        <w:pStyle w:val="BodyText2"/>
        <w:spacing w:after="200"/>
      </w:pPr>
      <w:r w:rsidRPr="002F2FD1">
        <w:t xml:space="preserve">Top-down empirical approaches </w:t>
      </w:r>
      <w:r w:rsidR="00FA28CD">
        <w:t xml:space="preserve">to estimating consequential emissions </w:t>
      </w:r>
      <w:r w:rsidRPr="002F2FD1">
        <w:t xml:space="preserve">use regression on past data to understand how emissions change as load changes in practice; however, (1) </w:t>
      </w:r>
      <w:r w:rsidR="00A67A79">
        <w:t>these</w:t>
      </w:r>
      <w:r w:rsidRPr="002F2FD1">
        <w:t xml:space="preserve"> approach</w:t>
      </w:r>
      <w:r w:rsidR="00A67A79">
        <w:t>s</w:t>
      </w:r>
      <w:r w:rsidRPr="002F2FD1">
        <w:t xml:space="preserve"> addresses only the historical grid, which is arguably not relevant for future </w:t>
      </w:r>
      <w:r w:rsidR="00A67A79">
        <w:t xml:space="preserve">adoption of </w:t>
      </w:r>
      <w:r w:rsidRPr="002F2FD1">
        <w:t>vehicles with lifetimes greater than a decade; (2) the approach addresses marginal load changes only; and (3) the approach assesses correlations that do not necessarily imply causality for supporting counterfactual analysis.</w:t>
      </w:r>
      <w:r>
        <w:t xml:space="preserve"> </w:t>
      </w:r>
    </w:p>
    <w:p w14:paraId="75252FC7" w14:textId="77777777" w:rsidR="002F2FD1" w:rsidRPr="002F2FD1" w:rsidRDefault="002F2FD1" w:rsidP="002F2FD1">
      <w:pPr>
        <w:pStyle w:val="BodyText2"/>
        <w:spacing w:after="200"/>
      </w:pPr>
      <w:r>
        <w:t>Existing regression-based studies include Graff Zivin et al. (2014), which regresses interconnect emissions on NERC region consumption (marginal consumption emission factors), and Siler-Evans et al. (2012), which regresses changes in fossil fuel generators vs. change in load for each NERC region (marginal generation emission factors). Graff Zivin is more conceptually correct</w:t>
      </w:r>
      <w:r w:rsidR="00D42A88">
        <w:t xml:space="preserve"> – we are interested in the effect of consumption in one location on </w:t>
      </w:r>
      <w:r w:rsidR="00FA28CD">
        <w:t xml:space="preserve">net </w:t>
      </w:r>
      <w:r w:rsidR="00D42A88">
        <w:t xml:space="preserve">emissions across the grid – </w:t>
      </w:r>
      <w:r>
        <w:t>however correlation vs. causality is a significant source of error</w:t>
      </w:r>
      <w:r w:rsidR="00D42A88">
        <w:t xml:space="preserve"> in use for counterfactual analysis</w:t>
      </w:r>
      <w:r>
        <w:t xml:space="preserve">, particularly for generators like nuclear, hydro, and wind plants that typically do not change </w:t>
      </w:r>
      <w:r w:rsidR="00D42A88">
        <w:t>net</w:t>
      </w:r>
      <w:r>
        <w:t xml:space="preserve"> output in response to variation in load. Siler-Evans mitigates this issue by focusing on fossil fuel plants but misses interregional trade and regional </w:t>
      </w:r>
      <w:r w:rsidR="00D42A88">
        <w:t xml:space="preserve">variation in </w:t>
      </w:r>
      <w:r>
        <w:t>efficiency. We compare regional emissions estimates and identify robust findings.</w:t>
      </w:r>
    </w:p>
    <w:p w14:paraId="2EA6D8D5" w14:textId="77777777" w:rsidR="002F2FD1" w:rsidRPr="002F2FD1" w:rsidRDefault="002F2FD1" w:rsidP="002F2FD1">
      <w:pPr>
        <w:pStyle w:val="BodyText2"/>
        <w:spacing w:after="200"/>
      </w:pPr>
      <w:r w:rsidRPr="002F2FD1">
        <w:t>In contrast, bottom-up normative appraoches model grid operations, such as unit commitment and dispatch, as a constrained optimization problem, assessing how the grid should operate to minimize costs. Such approaches can model future scenarios and assess large load changes; however (1) such models have limited scalability, making it difficult to model a long time scale</w:t>
      </w:r>
      <w:r w:rsidR="00D42A88">
        <w:t xml:space="preserve"> or a large </w:t>
      </w:r>
      <w:r w:rsidRPr="002F2FD1">
        <w:t>interconnect</w:t>
      </w:r>
      <w:r w:rsidR="00D42A88">
        <w:t>ion</w:t>
      </w:r>
      <w:r w:rsidRPr="002F2FD1">
        <w:t xml:space="preserve"> and limiting the ability to model trade across sub-regions; and (2) it is generally not possible to model all possible considerations that affect grid operations in practice. </w:t>
      </w:r>
      <w:r>
        <w:t>We m</w:t>
      </w:r>
      <w:r w:rsidR="00DE78C0">
        <w:t xml:space="preserve">odel the PJM interconnection using five transmission regions, optimize the system to minimize cost subject to generation/load, spinning and non-spinning reserves, generation level, ramp rate, runtime, downtime, transmission, vehicle charge rate and battery state of charge constraints. We monetize air emission </w:t>
      </w:r>
      <w:r w:rsidR="00D42A88">
        <w:t>externalities</w:t>
      </w:r>
      <w:r w:rsidR="00DE78C0">
        <w:t xml:space="preserve"> using </w:t>
      </w:r>
      <w:r w:rsidR="00A67A79">
        <w:t xml:space="preserve">the </w:t>
      </w:r>
      <w:r w:rsidR="00DE78C0">
        <w:t xml:space="preserve">APEEP </w:t>
      </w:r>
      <w:r w:rsidR="00A67A79">
        <w:t>(AP</w:t>
      </w:r>
      <w:r w:rsidR="00DE78C0">
        <w:t>2</w:t>
      </w:r>
      <w:r w:rsidR="00A67A79">
        <w:t>)</w:t>
      </w:r>
      <w:r w:rsidR="00DE78C0">
        <w:t xml:space="preserve"> and EASIUR</w:t>
      </w:r>
      <w:r w:rsidR="00A67A79">
        <w:t xml:space="preserve"> models</w:t>
      </w:r>
      <w:r w:rsidR="00DE78C0">
        <w:t xml:space="preserve"> in addition to estimates of the social cost of carbon.</w:t>
      </w:r>
    </w:p>
    <w:p w14:paraId="51D940D0" w14:textId="77777777"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14:paraId="169858D0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6D93D098" w14:textId="77777777" w:rsidR="002F2FD1" w:rsidRDefault="00DE78C0" w:rsidP="00DC69F1">
      <w:pPr>
        <w:pStyle w:val="BodyText2"/>
        <w:spacing w:after="200"/>
      </w:pPr>
      <w:r w:rsidRPr="00DE78C0">
        <w:t xml:space="preserve">For </w:t>
      </w:r>
      <w:r w:rsidR="00FA28CD">
        <w:t>the empirical</w:t>
      </w:r>
      <w:r w:rsidRPr="00DE78C0">
        <w:t xml:space="preserve"> models, we find that some conclusions are robust to</w:t>
      </w:r>
      <w:r w:rsidR="00D42A88">
        <w:t xml:space="preserve"> variations in</w:t>
      </w:r>
      <w:r w:rsidRPr="00DE78C0">
        <w:t xml:space="preserve"> model and charge timing: The electric Nissan Leaf is lower GHG-emitting than the gasoline Toyota Prius in the western U.S., Texas, and </w:t>
      </w:r>
      <w:r w:rsidRPr="00DE78C0">
        <w:lastRenderedPageBreak/>
        <w:t>likely in Florida and New England</w:t>
      </w:r>
      <w:r w:rsidR="00A67A79">
        <w:t>,</w:t>
      </w:r>
      <w:r w:rsidRPr="00DE78C0">
        <w:t xml:space="preserve"> but it is higher emitting in the northern Midwest. In other regions the comparison depends on which marginal emission factor estimates are used and/or charge timing.</w:t>
      </w:r>
      <w:r w:rsidR="00D42A88">
        <w:t xml:space="preserve"> In contrast, t</w:t>
      </w:r>
      <w:r>
        <w:t xml:space="preserve">he plug-in hybrid Chevrolet Volt is higher emitting than the gasoline Toyota Prius in most of the U.S., but the comparison in the western U.S. </w:t>
      </w:r>
      <w:r w:rsidR="00D42A88">
        <w:t>varies based on the</w:t>
      </w:r>
      <w:r>
        <w:t xml:space="preserve"> emissions estimates</w:t>
      </w:r>
      <w:r w:rsidR="00D42A88">
        <w:t xml:space="preserve"> used</w:t>
      </w:r>
      <w:r>
        <w:t xml:space="preserve"> and charge timing.</w:t>
      </w:r>
      <w:r w:rsidR="00FA28CD">
        <w:t xml:space="preserve"> All three vehicles emit fewer GHGs than most of the U.S. vehicle fleet.</w:t>
      </w:r>
    </w:p>
    <w:p w14:paraId="5AB6376D" w14:textId="4D0BD219" w:rsidR="00DE78C0" w:rsidRDefault="00DE78C0" w:rsidP="00DC69F1">
      <w:pPr>
        <w:pStyle w:val="BodyText2"/>
        <w:spacing w:after="200"/>
      </w:pPr>
      <w:r>
        <w:t xml:space="preserve">For </w:t>
      </w:r>
      <w:r w:rsidR="00F26967">
        <w:t>the normative</w:t>
      </w:r>
      <w:bookmarkStart w:id="0" w:name="_GoBack"/>
      <w:bookmarkEnd w:id="0"/>
      <w:r>
        <w:t xml:space="preserve"> models, we find that for the recent PJM grid (2010, the most recent year for which all necessary data are available), the plug-in electric vehicles modeled cause higher emissions externalities than the gasoline hybrid electric vehicle. In a future grid (2018) with sufficient coal plant retirement (as predicted by the EPA) and wind penetration, externalities of plug-in electric vehicles could be marginally lower than </w:t>
      </w:r>
      <w:r w:rsidR="00214356">
        <w:t>gasoline hybrids.</w:t>
      </w:r>
    </w:p>
    <w:p w14:paraId="1B793322" w14:textId="77777777" w:rsidR="00D42A88" w:rsidRDefault="00D42A88" w:rsidP="00DC69F1">
      <w:pPr>
        <w:pStyle w:val="BodyText2"/>
        <w:spacing w:after="200"/>
      </w:pPr>
      <w:r>
        <w:t xml:space="preserve">Additionally, we find that utility-controlled charging of electric vehicles reduces generation costs by one quarter to one third in the recent PJM grid, but it does so largely by shifting load to coal-fired power plants, whose </w:t>
      </w:r>
      <w:r w:rsidR="00FA28CD">
        <w:t xml:space="preserve">air </w:t>
      </w:r>
      <w:r>
        <w:t>emissions damages exceed generation cost savings.</w:t>
      </w:r>
      <w:r w:rsidR="00FA28CD">
        <w:t xml:space="preserve"> Nighttime charging also increases GHG emissions in most of the U.S., compared to convenience charging.</w:t>
      </w:r>
    </w:p>
    <w:p w14:paraId="13AB4D5C" w14:textId="77777777"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14:paraId="2DC38A21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4196E74F" w14:textId="19DBEAC7" w:rsidR="00214356" w:rsidRDefault="00214356" w:rsidP="00214356">
      <w:pPr>
        <w:pStyle w:val="BodyText2"/>
        <w:spacing w:after="200"/>
      </w:pPr>
      <w:r>
        <w:t xml:space="preserve">In general, states with zero-emission vehicle (ZEV) mandates tend to be in regions where the </w:t>
      </w:r>
      <w:r w:rsidR="00D42A88">
        <w:t xml:space="preserve">electric </w:t>
      </w:r>
      <w:r w:rsidR="007F1DD7">
        <w:t>Leaf has lower GHG emissions</w:t>
      </w:r>
      <w:r>
        <w:t xml:space="preserve"> than the </w:t>
      </w:r>
      <w:r w:rsidR="00D42A88">
        <w:t xml:space="preserve">gasoline </w:t>
      </w:r>
      <w:r>
        <w:t xml:space="preserve">Prius, but the </w:t>
      </w:r>
      <w:r w:rsidR="00D42A88">
        <w:t xml:space="preserve">plug-in hybrid </w:t>
      </w:r>
      <w:r>
        <w:t xml:space="preserve">Volt </w:t>
      </w:r>
      <w:r w:rsidR="00D42A88">
        <w:t xml:space="preserve">often </w:t>
      </w:r>
      <w:r>
        <w:t xml:space="preserve">has higher emissions. State EV subsidies are partially misaligned with regions where plug-in vehicles offer the largest benefits. </w:t>
      </w:r>
    </w:p>
    <w:p w14:paraId="55349AF0" w14:textId="77777777" w:rsidR="00214356" w:rsidRPr="00DE78C0" w:rsidRDefault="00F45E31" w:rsidP="00214356">
      <w:pPr>
        <w:pStyle w:val="BodyText2"/>
        <w:spacing w:after="200"/>
      </w:pPr>
      <w:r>
        <w:t xml:space="preserve">In particular, </w:t>
      </w:r>
      <w:r w:rsidR="00214356">
        <w:t>PJM has several states that offer large state incentives for electric vehicle adoption on top</w:t>
      </w:r>
      <w:r w:rsidR="001B3AE4">
        <w:t xml:space="preserve"> of generous federal subsidies,</w:t>
      </w:r>
      <w:r w:rsidR="00214356">
        <w:t xml:space="preserve"> including West Virginia, which offers the highest state subsidy: $7,500. But PJM air emissions benefits of electrification remain small (or negative) through 2018. While long term benefits of a transition to alternative fuel vehicles could </w:t>
      </w:r>
      <w:r>
        <w:t>potentially</w:t>
      </w:r>
      <w:r w:rsidR="00214356">
        <w:t xml:space="preserve"> justify higher subsidies now, it is less clear that PJM is a good location for targeting adoption in the near term. </w:t>
      </w:r>
    </w:p>
    <w:p w14:paraId="5E28CFD6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5EBA3F19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2A1393AD" w14:textId="77777777" w:rsidR="00214356" w:rsidRDefault="00214356" w:rsidP="00214356">
      <w:pPr>
        <w:pStyle w:val="BodyText2"/>
        <w:spacing w:after="200"/>
      </w:pPr>
      <w:r>
        <w:t xml:space="preserve">Tamayao, M., J.J. Michalek, C. Hendrickson and I. Azevedo (2015) "Regional variability and uncertainty of electric vehicle life cycle CO2 emissions across the United States," Environmental Science and Technology, in press. </w:t>
      </w:r>
    </w:p>
    <w:p w14:paraId="4C151569" w14:textId="77777777" w:rsidR="00214356" w:rsidRDefault="00214356" w:rsidP="00214356">
      <w:pPr>
        <w:pStyle w:val="BodyText2"/>
        <w:spacing w:after="200"/>
      </w:pPr>
      <w:r>
        <w:t>Tamayao, M., T. Yuksel, I. Azevedo, C. Hendrickson and J.J. Michalek (2015) "Electric vehicle life cycle greenhouse gas emissions vary across the United States due to electric power grid emissions, driving patterns, and climate," working paper.</w:t>
      </w:r>
    </w:p>
    <w:p w14:paraId="5FE33482" w14:textId="77777777" w:rsidR="00214356" w:rsidRDefault="00214356" w:rsidP="00214356">
      <w:pPr>
        <w:pStyle w:val="BodyText2"/>
        <w:spacing w:after="200"/>
      </w:pPr>
      <w:r>
        <w:t xml:space="preserve">Weis, A., P. Jaramillo and J.J. Michalek (2014) “Estimating the potential of controlled plug-in hybrid electric vehicle charging to reduce operational and capacity expansion costs for electric power systems with high wind penetration,” Applied Energy v115 p190-204. </w:t>
      </w:r>
    </w:p>
    <w:p w14:paraId="2A62577D" w14:textId="77777777" w:rsidR="00DC69F1" w:rsidRPr="00D767DA" w:rsidRDefault="00214356" w:rsidP="00214356">
      <w:pPr>
        <w:pStyle w:val="BodyText2"/>
        <w:spacing w:after="200"/>
        <w:rPr>
          <w:i/>
        </w:rPr>
      </w:pPr>
      <w:r>
        <w:t>Weis, A., P. Jaramillo and J.J. Michalek (2015) "Life cycle implications of plug-in electric vehicles in the PJM interconnection," working paper.</w:t>
      </w:r>
    </w:p>
    <w:p w14:paraId="19C31E58" w14:textId="77777777"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14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5DD44" w14:textId="77777777" w:rsidR="00C641B2" w:rsidRDefault="00C641B2">
      <w:r>
        <w:separator/>
      </w:r>
    </w:p>
  </w:endnote>
  <w:endnote w:type="continuationSeparator" w:id="0">
    <w:p w14:paraId="0FC270FA" w14:textId="77777777" w:rsidR="00C641B2" w:rsidRDefault="00C6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D7D4" w14:textId="77777777" w:rsidR="00C641B2" w:rsidRDefault="00C641B2">
      <w:r>
        <w:separator/>
      </w:r>
    </w:p>
  </w:footnote>
  <w:footnote w:type="continuationSeparator" w:id="0">
    <w:p w14:paraId="05304C8B" w14:textId="77777777" w:rsidR="00C641B2" w:rsidRDefault="00C64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EC184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EC1EF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02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43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29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4F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8B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0A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E8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88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1D34AC9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74A0863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3EE8CF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7C051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6C8F63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C52409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6A2CB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C90E64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C1C428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638EA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4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06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F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C9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2A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8D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4F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C1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1E9CA1A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ACEB5C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0C00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6C43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52B1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0C81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101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C84F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EAC0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9D2AE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CE0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AF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8D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6D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68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E4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EB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84B6E31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D42B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AA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69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C1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7A1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42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A2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0A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5B1A5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A7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468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E2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E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66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E9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2C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0A5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3572C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78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0C6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E9E7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1887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5889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801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2032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DF002F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CBB45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94E7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E3AA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B0EE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D8672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449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800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20CCC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354A5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E32A4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304C1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75EBE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FCB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7872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9DA9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886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A68E6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3235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04E8A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0A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6C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CA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C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0C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7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2F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8A5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2AF45C8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49A85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3FA4AC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270546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F0E335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0B4E1C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2ECCE2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D281D1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E74E78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1B18DC4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2A8DCB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AA8BA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E60780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26B8AF1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9F69E7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84149C9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8274172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C4CA1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34F03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A0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2E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05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01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80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C9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0F6AA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9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E7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2C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06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50B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CF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C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E6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60D40F3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3EEB4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004D6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E6C56B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7CCB52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E1CE9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BAEFAD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E467CB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A6AB65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422CF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A8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128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6C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44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6B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F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6D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68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DE"/>
    <w:rsid w:val="000C4F27"/>
    <w:rsid w:val="00141E8E"/>
    <w:rsid w:val="001B3AE4"/>
    <w:rsid w:val="00214356"/>
    <w:rsid w:val="002F2FD1"/>
    <w:rsid w:val="00371FDB"/>
    <w:rsid w:val="0040129F"/>
    <w:rsid w:val="00424AEC"/>
    <w:rsid w:val="004A675F"/>
    <w:rsid w:val="004C048E"/>
    <w:rsid w:val="004F3439"/>
    <w:rsid w:val="005A5112"/>
    <w:rsid w:val="00761E6E"/>
    <w:rsid w:val="007A0CA9"/>
    <w:rsid w:val="007F1DD7"/>
    <w:rsid w:val="00914992"/>
    <w:rsid w:val="009B581D"/>
    <w:rsid w:val="009F4817"/>
    <w:rsid w:val="00A67A79"/>
    <w:rsid w:val="00A85EDD"/>
    <w:rsid w:val="00A96D21"/>
    <w:rsid w:val="00AE339A"/>
    <w:rsid w:val="00B02B7D"/>
    <w:rsid w:val="00B55975"/>
    <w:rsid w:val="00BD2692"/>
    <w:rsid w:val="00C641B2"/>
    <w:rsid w:val="00CA0507"/>
    <w:rsid w:val="00D351D8"/>
    <w:rsid w:val="00D42A88"/>
    <w:rsid w:val="00D72391"/>
    <w:rsid w:val="00D819BE"/>
    <w:rsid w:val="00DB544C"/>
    <w:rsid w:val="00DC69F1"/>
    <w:rsid w:val="00DE78C0"/>
    <w:rsid w:val="00E046B2"/>
    <w:rsid w:val="00E20C16"/>
    <w:rsid w:val="00E650DB"/>
    <w:rsid w:val="00E9636B"/>
    <w:rsid w:val="00EA633C"/>
    <w:rsid w:val="00EA7CB2"/>
    <w:rsid w:val="00EE5954"/>
    <w:rsid w:val="00F26967"/>
    <w:rsid w:val="00F344CF"/>
    <w:rsid w:val="00F45E31"/>
    <w:rsid w:val="00FA23DE"/>
    <w:rsid w:val="00FA28CD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C9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44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rsid w:val="00DB544C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B544C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DB544C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DB544C"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54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B544C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rsid w:val="00DB544C"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rsid w:val="00DB544C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rsid w:val="00DB544C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rsid w:val="00DB544C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sid w:val="00DB544C"/>
    <w:rPr>
      <w:sz w:val="22"/>
    </w:rPr>
  </w:style>
  <w:style w:type="paragraph" w:styleId="BodyText2">
    <w:name w:val="Body Text 2"/>
    <w:basedOn w:val="Normal"/>
    <w:rsid w:val="00DB544C"/>
    <w:pPr>
      <w:ind w:firstLine="360"/>
      <w:jc w:val="both"/>
    </w:pPr>
  </w:style>
  <w:style w:type="paragraph" w:styleId="BlockText">
    <w:name w:val="Block Text"/>
    <w:basedOn w:val="Normal"/>
    <w:rsid w:val="00DB544C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  <w:rsid w:val="00DB544C"/>
  </w:style>
  <w:style w:type="paragraph" w:customStyle="1" w:styleId="Head4">
    <w:name w:val="Head4"/>
    <w:basedOn w:val="Head3"/>
    <w:next w:val="para1"/>
    <w:rsid w:val="00DB544C"/>
    <w:rPr>
      <w:b w:val="0"/>
    </w:rPr>
  </w:style>
  <w:style w:type="paragraph" w:customStyle="1" w:styleId="Head3">
    <w:name w:val="Head3"/>
    <w:basedOn w:val="para"/>
    <w:next w:val="para1"/>
    <w:rsid w:val="00DB544C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rsid w:val="00DB544C"/>
    <w:pPr>
      <w:jc w:val="both"/>
    </w:pPr>
  </w:style>
  <w:style w:type="paragraph" w:customStyle="1" w:styleId="para1">
    <w:name w:val="para1"/>
    <w:basedOn w:val="para"/>
    <w:rsid w:val="00DB544C"/>
    <w:pPr>
      <w:spacing w:before="120"/>
      <w:ind w:firstLine="288"/>
    </w:pPr>
  </w:style>
  <w:style w:type="paragraph" w:styleId="BodyText3">
    <w:name w:val="Body Text 3"/>
    <w:basedOn w:val="Normal"/>
    <w:rsid w:val="00DB544C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rsid w:val="00DB544C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rsid w:val="00DB544C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rsid w:val="00DB544C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rsid w:val="00DB544C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DB544C"/>
    <w:pPr>
      <w:ind w:left="360" w:hanging="720"/>
    </w:pPr>
  </w:style>
  <w:style w:type="character" w:styleId="Hyperlink">
    <w:name w:val="Hyperlink"/>
    <w:basedOn w:val="DefaultParagraphFont"/>
    <w:rsid w:val="00DB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azevedo@cmu.edu" TargetMode="External"/><Relationship Id="rId12" Type="http://schemas.openxmlformats.org/officeDocument/2006/relationships/hyperlink" Target="mailto:mamtamayao@gmail.com" TargetMode="External"/><Relationship Id="rId13" Type="http://schemas.openxmlformats.org/officeDocument/2006/relationships/hyperlink" Target="mailto:cth@cmu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ulina@cmu.edu" TargetMode="External"/><Relationship Id="rId9" Type="http://schemas.openxmlformats.org/officeDocument/2006/relationships/hyperlink" Target="mailto:jmichalek@cmu.edu" TargetMode="External"/><Relationship Id="rId10" Type="http://schemas.openxmlformats.org/officeDocument/2006/relationships/hyperlink" Target="mailto:kazak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1125</Words>
  <Characters>6416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J Michalek</cp:lastModifiedBy>
  <cp:revision>13</cp:revision>
  <cp:lastPrinted>2012-01-19T14:58:00Z</cp:lastPrinted>
  <dcterms:created xsi:type="dcterms:W3CDTF">2015-05-18T19:39:00Z</dcterms:created>
  <dcterms:modified xsi:type="dcterms:W3CDTF">2015-08-17T22:33:00Z</dcterms:modified>
</cp:coreProperties>
</file>