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F1" w:rsidRPr="00F01015" w:rsidRDefault="00F01015" w:rsidP="00C36F47">
      <w:pPr>
        <w:framePr w:w="10800" w:h="1531" w:hRule="exact" w:hSpace="187" w:wrap="auto" w:vAnchor="page" w:hAnchor="page" w:x="714" w:y="1085"/>
        <w:rPr>
          <w:sz w:val="28"/>
          <w:szCs w:val="28"/>
        </w:rPr>
      </w:pPr>
      <w:r w:rsidRPr="00F01015">
        <w:rPr>
          <w:b/>
          <w:i/>
          <w:sz w:val="28"/>
          <w:szCs w:val="28"/>
        </w:rPr>
        <w:t xml:space="preserve">WELFARE IMPACTS OF SINGLE-PROVIDER RESIDENTIAL-ELECTRICITY-SERVICE PRICE DISCRIMINATION - Part 2 with conjectural changes in building stock </w:t>
      </w:r>
      <w:proofErr w:type="spellStart"/>
      <w:r w:rsidRPr="00F01015">
        <w:rPr>
          <w:b/>
          <w:i/>
          <w:sz w:val="28"/>
          <w:szCs w:val="28"/>
        </w:rPr>
        <w:t>floorspace</w:t>
      </w:r>
      <w:proofErr w:type="spellEnd"/>
      <w:r w:rsidR="00DC69F1" w:rsidRPr="00F01015">
        <w:rPr>
          <w:sz w:val="28"/>
          <w:szCs w:val="28"/>
        </w:rPr>
        <w:t xml:space="preserve">   </w:t>
      </w:r>
      <w:r w:rsidR="00DC69F1" w:rsidRPr="00F01015">
        <w:rPr>
          <w:sz w:val="28"/>
          <w:szCs w:val="28"/>
        </w:rPr>
        <w:tab/>
      </w:r>
      <w:r w:rsidR="00DC69F1" w:rsidRPr="00F01015">
        <w:rPr>
          <w:sz w:val="28"/>
          <w:szCs w:val="28"/>
        </w:rPr>
        <w:tab/>
      </w:r>
      <w:r w:rsidR="00DC69F1" w:rsidRPr="00F01015">
        <w:rPr>
          <w:sz w:val="28"/>
          <w:szCs w:val="28"/>
        </w:rPr>
        <w:tab/>
      </w:r>
      <w:r w:rsidR="00DC69F1" w:rsidRPr="00F01015">
        <w:rPr>
          <w:sz w:val="28"/>
          <w:szCs w:val="28"/>
        </w:rPr>
        <w:tab/>
      </w:r>
      <w:r w:rsidR="00DC69F1" w:rsidRPr="00F01015">
        <w:rPr>
          <w:sz w:val="28"/>
          <w:szCs w:val="28"/>
        </w:rPr>
        <w:tab/>
      </w:r>
      <w:r w:rsidR="00DC69F1" w:rsidRPr="00F01015">
        <w:rPr>
          <w:sz w:val="28"/>
          <w:szCs w:val="28"/>
        </w:rPr>
        <w:tab/>
      </w:r>
      <w:r w:rsidR="00DC69F1" w:rsidRPr="00F01015">
        <w:rPr>
          <w:sz w:val="28"/>
          <w:szCs w:val="28"/>
        </w:rPr>
        <w:tab/>
      </w:r>
      <w:r w:rsidR="00DC69F1" w:rsidRPr="00F01015">
        <w:rPr>
          <w:sz w:val="28"/>
          <w:szCs w:val="28"/>
        </w:rPr>
        <w:tab/>
      </w:r>
      <w:r w:rsidR="00DC69F1" w:rsidRPr="00F01015">
        <w:rPr>
          <w:sz w:val="28"/>
          <w:szCs w:val="28"/>
        </w:rPr>
        <w:tab/>
        <w:t xml:space="preserve">                                                 </w:t>
      </w:r>
      <w:r w:rsidR="00DC69F1" w:rsidRPr="00F01015">
        <w:rPr>
          <w:sz w:val="28"/>
          <w:szCs w:val="28"/>
        </w:rPr>
        <w:tab/>
      </w:r>
    </w:p>
    <w:p w:rsidR="00F01015" w:rsidRDefault="00F01015" w:rsidP="009D72D8">
      <w:pPr>
        <w:pStyle w:val="BodyText"/>
        <w:framePr w:w="10800" w:h="1531" w:hRule="exact" w:hSpace="187" w:wrap="auto" w:vAnchor="page" w:hAnchor="page" w:x="714" w:y="1085"/>
        <w:jc w:val="right"/>
        <w:rPr>
          <w:sz w:val="20"/>
        </w:rPr>
      </w:pPr>
    </w:p>
    <w:p w:rsidR="00DC69F1" w:rsidRDefault="00F01015" w:rsidP="00FE445F">
      <w:pPr>
        <w:pStyle w:val="BodyText"/>
        <w:framePr w:w="10800" w:h="1531" w:hRule="exact" w:hSpace="187" w:wrap="auto" w:vAnchor="page" w:hAnchor="page" w:x="714" w:y="1085"/>
        <w:jc w:val="center"/>
      </w:pPr>
      <w:r w:rsidRPr="00F01015">
        <w:rPr>
          <w:sz w:val="20"/>
        </w:rPr>
        <w:t>Daniel M. Hamblin, Dan Hamblin &amp; Associates, Inc., 1-260-452-9064, danmhamblin@gmail.com</w:t>
      </w:r>
    </w:p>
    <w:p w:rsidR="00DC69F1" w:rsidRDefault="00DC69F1">
      <w:pPr>
        <w:pStyle w:val="copyright"/>
      </w:pPr>
    </w:p>
    <w:p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9D72D8" w:rsidRDefault="009D72D8" w:rsidP="009D72D8">
      <w:pPr>
        <w:pStyle w:val="Heading2"/>
        <w:tabs>
          <w:tab w:val="left" w:pos="1890"/>
        </w:tabs>
        <w:rPr>
          <w:rFonts w:ascii="Times New Roman" w:hAnsi="Times New Roman"/>
          <w:b w:val="0"/>
          <w:i w:val="0"/>
          <w:sz w:val="20"/>
        </w:rPr>
      </w:pPr>
      <w:r w:rsidRPr="002E5F6A">
        <w:rPr>
          <w:rFonts w:ascii="Times New Roman" w:hAnsi="Times New Roman"/>
          <w:b w:val="0"/>
          <w:i w:val="0"/>
          <w:sz w:val="20"/>
        </w:rPr>
        <w:t xml:space="preserve">The </w:t>
      </w:r>
      <w:r>
        <w:rPr>
          <w:rFonts w:ascii="Times New Roman" w:hAnsi="Times New Roman"/>
          <w:b w:val="0"/>
          <w:i w:val="0"/>
          <w:sz w:val="20"/>
        </w:rPr>
        <w:t xml:space="preserve">Calgary 2010 </w:t>
      </w:r>
      <w:r w:rsidRPr="002E5F6A">
        <w:rPr>
          <w:rFonts w:ascii="Times New Roman" w:hAnsi="Times New Roman"/>
          <w:b w:val="0"/>
          <w:i w:val="0"/>
          <w:sz w:val="20"/>
        </w:rPr>
        <w:t>paper</w:t>
      </w:r>
      <w:r>
        <w:rPr>
          <w:rStyle w:val="EndnoteReference"/>
          <w:rFonts w:ascii="Times New Roman" w:hAnsi="Times New Roman"/>
          <w:b w:val="0"/>
          <w:i w:val="0"/>
          <w:sz w:val="20"/>
        </w:rPr>
        <w:endnoteReference w:id="1"/>
      </w:r>
      <w:r w:rsidRPr="002E5F6A">
        <w:rPr>
          <w:rFonts w:ascii="Times New Roman" w:hAnsi="Times New Roman"/>
          <w:b w:val="0"/>
          <w:i w:val="0"/>
          <w:sz w:val="20"/>
        </w:rPr>
        <w:t xml:space="preserve"> examine</w:t>
      </w:r>
      <w:r>
        <w:rPr>
          <w:rFonts w:ascii="Times New Roman" w:hAnsi="Times New Roman"/>
          <w:b w:val="0"/>
          <w:i w:val="0"/>
          <w:sz w:val="20"/>
        </w:rPr>
        <w:t>d</w:t>
      </w:r>
      <w:r w:rsidRPr="002E5F6A">
        <w:rPr>
          <w:rFonts w:ascii="Times New Roman" w:hAnsi="Times New Roman"/>
          <w:b w:val="0"/>
          <w:i w:val="0"/>
          <w:sz w:val="20"/>
        </w:rPr>
        <w:t xml:space="preserve"> how residential electricity service providers known for price discrimination through declining block rates c</w:t>
      </w:r>
      <w:r>
        <w:rPr>
          <w:rFonts w:ascii="Times New Roman" w:hAnsi="Times New Roman"/>
          <w:b w:val="0"/>
          <w:i w:val="0"/>
          <w:sz w:val="20"/>
        </w:rPr>
        <w:t>ould</w:t>
      </w:r>
      <w:r w:rsidRPr="002E5F6A">
        <w:rPr>
          <w:rFonts w:ascii="Times New Roman" w:hAnsi="Times New Roman"/>
          <w:b w:val="0"/>
          <w:i w:val="0"/>
          <w:sz w:val="20"/>
        </w:rPr>
        <w:t xml:space="preserve"> additionally discriminate by offering flat-rate serv</w:t>
      </w:r>
      <w:r>
        <w:rPr>
          <w:rFonts w:ascii="Times New Roman" w:hAnsi="Times New Roman"/>
          <w:b w:val="0"/>
          <w:i w:val="0"/>
          <w:sz w:val="20"/>
        </w:rPr>
        <w:t>ice contracts to some customers</w:t>
      </w:r>
      <w:r w:rsidRPr="002E5F6A">
        <w:rPr>
          <w:rFonts w:ascii="Times New Roman" w:hAnsi="Times New Roman"/>
          <w:b w:val="0"/>
          <w:i w:val="0"/>
          <w:sz w:val="20"/>
        </w:rPr>
        <w:t xml:space="preserve"> and by offering bundled services and technologies optimally paired with different base- and peak-load generation sources. </w:t>
      </w:r>
      <w:r>
        <w:rPr>
          <w:rFonts w:ascii="Times New Roman" w:hAnsi="Times New Roman"/>
          <w:b w:val="0"/>
          <w:i w:val="0"/>
          <w:sz w:val="20"/>
        </w:rPr>
        <w:t>Here, we use a significantly revised methodology (depicted below) to look at a shopping list of Energy Star technologies expanded by 5, situated in a housing stock which may be larger or smaller by amounts motivated by changes in household size or wealth. With the 5 additional Energy Star technologies, we expanded the possible price/portfolio options comprising a rehab from 5 to 7. We drive the housing stock size predictions by income elasticities that differ by purpose.</w:t>
      </w:r>
      <w:r>
        <w:rPr>
          <w:rStyle w:val="EndnoteReference"/>
          <w:rFonts w:ascii="Times New Roman" w:hAnsi="Times New Roman"/>
          <w:b w:val="0"/>
          <w:i w:val="0"/>
          <w:sz w:val="20"/>
        </w:rPr>
        <w:endnoteReference w:id="2"/>
      </w:r>
      <w:r>
        <w:rPr>
          <w:rFonts w:ascii="Times New Roman" w:hAnsi="Times New Roman"/>
          <w:b w:val="0"/>
          <w:i w:val="0"/>
          <w:sz w:val="20"/>
        </w:rPr>
        <w:t xml:space="preserve"> I</w:t>
      </w:r>
      <w:r w:rsidRPr="002E5F6A">
        <w:rPr>
          <w:rFonts w:ascii="Times New Roman" w:hAnsi="Times New Roman"/>
          <w:b w:val="0"/>
          <w:i w:val="0"/>
          <w:sz w:val="20"/>
        </w:rPr>
        <w:t>ncluded are helical fluorescent bulbs and two sizes of photovoltaic panels</w:t>
      </w:r>
      <w:r>
        <w:rPr>
          <w:rFonts w:ascii="Times New Roman" w:hAnsi="Times New Roman"/>
          <w:b w:val="0"/>
          <w:i w:val="0"/>
          <w:sz w:val="20"/>
        </w:rPr>
        <w:t>, plus a “renewables in supply” conjecture/prediction of how welfare results are affected if our customer segment is formed from households willing to pay 3 additional cents/kWh for 21.7% of kWh purchased from renewable suppliers (low power cost regime) or 5 additional cents/kWh for 1/3</w:t>
      </w:r>
      <w:r w:rsidRPr="007F6A0B">
        <w:rPr>
          <w:rFonts w:ascii="Times New Roman" w:hAnsi="Times New Roman"/>
          <w:b w:val="0"/>
          <w:i w:val="0"/>
          <w:sz w:val="20"/>
        </w:rPr>
        <w:t>rd</w:t>
      </w:r>
      <w:r>
        <w:rPr>
          <w:rFonts w:ascii="Times New Roman" w:hAnsi="Times New Roman"/>
          <w:b w:val="0"/>
          <w:i w:val="0"/>
          <w:sz w:val="20"/>
        </w:rPr>
        <w:t xml:space="preserve"> of kWh purchased from renewable suppliers (high power cost regime)</w:t>
      </w:r>
      <w:r w:rsidRPr="002E5F6A">
        <w:rPr>
          <w:rFonts w:ascii="Times New Roman" w:hAnsi="Times New Roman"/>
          <w:b w:val="0"/>
          <w:i w:val="0"/>
          <w:sz w:val="20"/>
        </w:rPr>
        <w:t xml:space="preserve">. Estimated parameters enter Version </w:t>
      </w:r>
      <w:r>
        <w:rPr>
          <w:rFonts w:ascii="Times New Roman" w:hAnsi="Times New Roman"/>
          <w:b w:val="0"/>
          <w:i w:val="0"/>
          <w:sz w:val="20"/>
        </w:rPr>
        <w:t>4.0</w:t>
      </w:r>
      <w:r w:rsidRPr="002E5F6A">
        <w:rPr>
          <w:rFonts w:ascii="Times New Roman" w:hAnsi="Times New Roman"/>
          <w:b w:val="0"/>
          <w:i w:val="0"/>
          <w:sz w:val="20"/>
        </w:rPr>
        <w:t xml:space="preserve"> of a Nash game, Shadowprice.com Autopilot, where their influence grows or diminishes as market power dictates. The paper </w:t>
      </w:r>
      <w:r>
        <w:rPr>
          <w:rFonts w:ascii="Times New Roman" w:hAnsi="Times New Roman"/>
          <w:b w:val="0"/>
          <w:i w:val="0"/>
          <w:sz w:val="20"/>
        </w:rPr>
        <w:t>defines fifty eight heuristic scenarios used to perform</w:t>
      </w:r>
      <w:r w:rsidRPr="002E5F6A">
        <w:rPr>
          <w:rFonts w:ascii="Times New Roman" w:hAnsi="Times New Roman"/>
          <w:b w:val="0"/>
          <w:i w:val="0"/>
          <w:sz w:val="20"/>
        </w:rPr>
        <w:t xml:space="preserve"> welfare estimation of </w:t>
      </w:r>
      <w:r w:rsidR="00FE445F">
        <w:rPr>
          <w:rFonts w:ascii="Times New Roman" w:hAnsi="Times New Roman"/>
          <w:b w:val="0"/>
          <w:i w:val="0"/>
          <w:sz w:val="20"/>
        </w:rPr>
        <w:t>consumer and producer</w:t>
      </w:r>
      <w:r w:rsidRPr="002E5F6A">
        <w:rPr>
          <w:rFonts w:ascii="Times New Roman" w:hAnsi="Times New Roman"/>
          <w:b w:val="0"/>
          <w:i w:val="0"/>
          <w:sz w:val="20"/>
        </w:rPr>
        <w:t xml:space="preserve"> surplus caused by the single provider's discriminatory </w:t>
      </w:r>
      <w:proofErr w:type="spellStart"/>
      <w:r>
        <w:rPr>
          <w:rFonts w:ascii="Times New Roman" w:hAnsi="Times New Roman"/>
          <w:b w:val="0"/>
          <w:i w:val="0"/>
          <w:sz w:val="20"/>
        </w:rPr>
        <w:t>behaviors</w:t>
      </w:r>
      <w:proofErr w:type="spellEnd"/>
      <w:r>
        <w:rPr>
          <w:rFonts w:ascii="Times New Roman" w:hAnsi="Times New Roman"/>
          <w:b w:val="0"/>
          <w:i w:val="0"/>
          <w:sz w:val="20"/>
        </w:rPr>
        <w:t xml:space="preserve">, </w:t>
      </w:r>
      <w:r w:rsidR="00FE445F">
        <w:rPr>
          <w:rFonts w:ascii="Times New Roman" w:hAnsi="Times New Roman"/>
          <w:b w:val="0"/>
          <w:i w:val="0"/>
          <w:sz w:val="20"/>
        </w:rPr>
        <w:t>with scenarios designed to examine changing</w:t>
      </w:r>
      <w:r>
        <w:rPr>
          <w:rFonts w:ascii="Times New Roman" w:hAnsi="Times New Roman"/>
          <w:b w:val="0"/>
          <w:i w:val="0"/>
          <w:sz w:val="20"/>
        </w:rPr>
        <w:t xml:space="preserve"> demographics </w:t>
      </w:r>
      <w:r w:rsidR="00FE445F">
        <w:rPr>
          <w:rFonts w:ascii="Times New Roman" w:hAnsi="Times New Roman"/>
          <w:b w:val="0"/>
          <w:i w:val="0"/>
          <w:sz w:val="20"/>
        </w:rPr>
        <w:t>of</w:t>
      </w:r>
      <w:r>
        <w:rPr>
          <w:rFonts w:ascii="Times New Roman" w:hAnsi="Times New Roman"/>
          <w:b w:val="0"/>
          <w:i w:val="0"/>
          <w:sz w:val="20"/>
        </w:rPr>
        <w:t xml:space="preserve"> suburb and central city. </w:t>
      </w:r>
    </w:p>
    <w:p w:rsidR="009D72D8" w:rsidRDefault="009D72D8" w:rsidP="009D72D8"/>
    <w:p w:rsidR="009D72D8" w:rsidRDefault="009D72D8" w:rsidP="009D72D8">
      <w:pPr>
        <w:pStyle w:val="ListParagraph"/>
        <w:tabs>
          <w:tab w:val="left" w:pos="0"/>
        </w:tabs>
        <w:ind w:left="0"/>
        <w:rPr>
          <w:sz w:val="20"/>
          <w:szCs w:val="20"/>
        </w:rPr>
      </w:pPr>
      <w:r>
        <w:rPr>
          <w:sz w:val="20"/>
          <w:szCs w:val="20"/>
        </w:rPr>
        <w:t>As in Calgary 2010, we include the</w:t>
      </w:r>
      <w:r w:rsidRPr="008F17C0">
        <w:rPr>
          <w:sz w:val="20"/>
          <w:szCs w:val="20"/>
        </w:rPr>
        <w:t xml:space="preserve"> Paul </w:t>
      </w:r>
      <w:proofErr w:type="spellStart"/>
      <w:r w:rsidRPr="008F17C0">
        <w:rPr>
          <w:sz w:val="20"/>
          <w:szCs w:val="20"/>
        </w:rPr>
        <w:t>Joskow</w:t>
      </w:r>
      <w:proofErr w:type="spellEnd"/>
      <w:r>
        <w:rPr>
          <w:sz w:val="20"/>
          <w:szCs w:val="20"/>
        </w:rPr>
        <w:t>-inspired</w:t>
      </w:r>
      <w:r w:rsidRPr="008F17C0">
        <w:rPr>
          <w:sz w:val="20"/>
          <w:szCs w:val="20"/>
        </w:rPr>
        <w:t xml:space="preserve"> acid test for the value of electricity technology/service bundles as how well </w:t>
      </w:r>
      <w:r>
        <w:rPr>
          <w:sz w:val="20"/>
          <w:szCs w:val="20"/>
        </w:rPr>
        <w:t>they compete</w:t>
      </w:r>
      <w:r w:rsidRPr="008F17C0">
        <w:rPr>
          <w:sz w:val="20"/>
          <w:szCs w:val="20"/>
        </w:rPr>
        <w:t xml:space="preserve"> against no-frills direct access to wholesale power</w:t>
      </w:r>
      <w:r>
        <w:rPr>
          <w:sz w:val="20"/>
          <w:szCs w:val="20"/>
        </w:rPr>
        <w:t>,</w:t>
      </w:r>
      <w:r w:rsidRPr="008F17C0">
        <w:rPr>
          <w:rStyle w:val="EndnoteReference"/>
          <w:sz w:val="20"/>
          <w:szCs w:val="20"/>
        </w:rPr>
        <w:endnoteReference w:id="3"/>
      </w:r>
      <w:r w:rsidRPr="008F17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use </w:t>
      </w:r>
      <w:r w:rsidRPr="008F17C0">
        <w:rPr>
          <w:sz w:val="20"/>
          <w:szCs w:val="20"/>
        </w:rPr>
        <w:t>Massachusetts Electric</w:t>
      </w:r>
      <w:r w:rsidRPr="008F17C0">
        <w:rPr>
          <w:i/>
          <w:sz w:val="20"/>
          <w:szCs w:val="20"/>
        </w:rPr>
        <w:t xml:space="preserve"> default service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as our model for awarding it to all new customers</w:t>
      </w:r>
      <w:r w:rsidRPr="008F17C0">
        <w:rPr>
          <w:rStyle w:val="EndnoteReference"/>
          <w:sz w:val="20"/>
          <w:szCs w:val="20"/>
        </w:rPr>
        <w:endnoteReference w:id="4"/>
      </w:r>
      <w:r w:rsidRPr="008F17C0">
        <w:rPr>
          <w:sz w:val="20"/>
          <w:szCs w:val="20"/>
        </w:rPr>
        <w:t xml:space="preserve"> for the year of simulation</w:t>
      </w:r>
      <w:r>
        <w:rPr>
          <w:sz w:val="20"/>
          <w:szCs w:val="20"/>
        </w:rPr>
        <w:t xml:space="preserve"> and to existing customers who switch</w:t>
      </w:r>
      <w:r w:rsidRPr="008F17C0">
        <w:rPr>
          <w:sz w:val="20"/>
          <w:szCs w:val="20"/>
        </w:rPr>
        <w:t xml:space="preserve">. </w:t>
      </w:r>
    </w:p>
    <w:p w:rsidR="009D72D8" w:rsidRDefault="009D72D8" w:rsidP="009D72D8">
      <w:pPr>
        <w:pStyle w:val="ListParagraph"/>
        <w:tabs>
          <w:tab w:val="left" w:pos="0"/>
        </w:tabs>
        <w:ind w:left="0"/>
        <w:rPr>
          <w:sz w:val="20"/>
          <w:szCs w:val="20"/>
        </w:rPr>
      </w:pPr>
    </w:p>
    <w:p w:rsidR="00DC69F1" w:rsidRPr="009D72D8" w:rsidRDefault="00DC69F1" w:rsidP="009D72D8">
      <w:pPr>
        <w:pStyle w:val="ListParagraph"/>
        <w:tabs>
          <w:tab w:val="left" w:pos="0"/>
        </w:tabs>
        <w:ind w:left="0"/>
        <w:rPr>
          <w:rFonts w:ascii="Arial" w:hAnsi="Arial" w:cs="Arial"/>
          <w:b/>
        </w:rPr>
      </w:pPr>
      <w:r w:rsidRPr="009D72D8">
        <w:rPr>
          <w:rFonts w:ascii="Arial" w:hAnsi="Arial" w:cs="Arial"/>
          <w:b/>
        </w:rPr>
        <w:t>Methods</w:t>
      </w:r>
    </w:p>
    <w:p w:rsidR="009D72D8" w:rsidRPr="002E5F6A" w:rsidRDefault="009D72D8" w:rsidP="009D72D8">
      <w:pPr>
        <w:pStyle w:val="Heading2"/>
        <w:rPr>
          <w:rFonts w:ascii="Times New Roman" w:hAnsi="Times New Roman"/>
          <w:b w:val="0"/>
          <w:i w:val="0"/>
          <w:sz w:val="20"/>
        </w:rPr>
      </w:pPr>
      <w:r w:rsidRPr="002E5F6A">
        <w:rPr>
          <w:rFonts w:ascii="Times New Roman" w:hAnsi="Times New Roman"/>
          <w:b w:val="0"/>
          <w:i w:val="0"/>
          <w:sz w:val="20"/>
        </w:rPr>
        <w:t xml:space="preserve">The methods used estimate market potential for new technologies within the context of </w:t>
      </w:r>
      <w:r>
        <w:rPr>
          <w:rFonts w:ascii="Times New Roman" w:hAnsi="Times New Roman"/>
          <w:b w:val="0"/>
          <w:i w:val="0"/>
          <w:sz w:val="20"/>
        </w:rPr>
        <w:t xml:space="preserve">ESP </w:t>
      </w:r>
      <w:r w:rsidRPr="002E5F6A">
        <w:rPr>
          <w:rFonts w:ascii="Times New Roman" w:hAnsi="Times New Roman"/>
          <w:b w:val="0"/>
          <w:i w:val="0"/>
          <w:sz w:val="20"/>
        </w:rPr>
        <w:t>market power. (See figure</w:t>
      </w:r>
      <w:proofErr w:type="gramStart"/>
      <w:r w:rsidRPr="002E5F6A">
        <w:rPr>
          <w:rFonts w:ascii="Times New Roman" w:hAnsi="Times New Roman"/>
          <w:b w:val="0"/>
          <w:i w:val="0"/>
          <w:sz w:val="20"/>
        </w:rPr>
        <w:t>.</w:t>
      </w:r>
      <w:r w:rsidRPr="002E5F6A">
        <w:rPr>
          <w:rStyle w:val="EndnoteReference"/>
          <w:rFonts w:ascii="Times New Roman" w:hAnsi="Times New Roman"/>
          <w:b w:val="0"/>
          <w:i w:val="0"/>
          <w:sz w:val="20"/>
        </w:rPr>
        <w:endnoteReference w:id="5"/>
      </w:r>
      <w:r w:rsidRPr="00F84644">
        <w:rPr>
          <w:rFonts w:ascii="Times New Roman" w:hAnsi="Times New Roman"/>
          <w:b w:val="0"/>
          <w:i w:val="0"/>
          <w:sz w:val="20"/>
          <w:vertAlign w:val="superscript"/>
        </w:rPr>
        <w:t>,</w:t>
      </w:r>
      <w:proofErr w:type="gramEnd"/>
      <w:r w:rsidRPr="002E5F6A">
        <w:rPr>
          <w:rStyle w:val="EndnoteReference"/>
          <w:rFonts w:ascii="Times New Roman" w:hAnsi="Times New Roman"/>
          <w:b w:val="0"/>
          <w:i w:val="0"/>
          <w:sz w:val="20"/>
        </w:rPr>
        <w:endnoteReference w:id="6"/>
      </w:r>
      <w:r w:rsidRPr="002E5F6A">
        <w:rPr>
          <w:rFonts w:ascii="Times New Roman" w:hAnsi="Times New Roman"/>
          <w:b w:val="0"/>
          <w:i w:val="0"/>
          <w:sz w:val="20"/>
        </w:rPr>
        <w:t>)</w:t>
      </w:r>
    </w:p>
    <w:p w:rsidR="009D72D8" w:rsidRPr="00A247C7" w:rsidRDefault="00B6586D" w:rsidP="009D72D8">
      <w:pPr>
        <w:pStyle w:val="Heading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33655</wp:posOffset>
                </wp:positionV>
                <wp:extent cx="4991100" cy="33870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2D8" w:rsidRPr="00587724" w:rsidRDefault="00B6586D" w:rsidP="009D72D8">
                            <w:r w:rsidRPr="009D72D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810125" cy="3457575"/>
                                  <wp:effectExtent l="0" t="0" r="9525" b="9525"/>
                                  <wp:docPr id="2" name="Picture 0" descr="Calgary Plus Next Flow Chart to get to print on 3 10 20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Calgary Plus Next Flow Chart to get to print on 3 10 20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345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2.65pt;width:393pt;height:2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4Q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" stroked="f">
                <v:textbox>
                  <w:txbxContent>
                    <w:p w:rsidR="009D72D8" w:rsidRPr="00587724" w:rsidRDefault="00B6586D" w:rsidP="009D72D8">
                      <w:r w:rsidRPr="009D72D8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810125" cy="3457575"/>
                            <wp:effectExtent l="0" t="0" r="9525" b="9525"/>
                            <wp:docPr id="2" name="Picture 0" descr="Calgary Plus Next Flow Chart to get to print on 3 10 20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Calgary Plus Next Flow Chart to get to print on 3 10 20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345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72D8" w:rsidRPr="00A247C7" w:rsidRDefault="009D72D8" w:rsidP="009D72D8">
      <w:pPr>
        <w:pStyle w:val="Heading2"/>
        <w:rPr>
          <w:rFonts w:ascii="Times New Roman" w:hAnsi="Times New Roman"/>
          <w:i w:val="0"/>
          <w:sz w:val="20"/>
        </w:rPr>
      </w:pPr>
    </w:p>
    <w:p w:rsidR="009D72D8" w:rsidRPr="00A247C7" w:rsidRDefault="009D72D8" w:rsidP="009D72D8">
      <w:pPr>
        <w:pStyle w:val="Heading2"/>
        <w:rPr>
          <w:rFonts w:ascii="Times New Roman" w:hAnsi="Times New Roman"/>
          <w:i w:val="0"/>
          <w:sz w:val="20"/>
        </w:rPr>
      </w:pPr>
    </w:p>
    <w:p w:rsidR="009D72D8" w:rsidRDefault="009D72D8" w:rsidP="009D72D8">
      <w:pPr>
        <w:pStyle w:val="Heading2"/>
        <w:rPr>
          <w:rFonts w:ascii="Times New Roman" w:hAnsi="Times New Roman"/>
          <w:i w:val="0"/>
          <w:sz w:val="20"/>
        </w:rPr>
      </w:pPr>
    </w:p>
    <w:p w:rsidR="009D72D8" w:rsidRDefault="009D72D8" w:rsidP="009D72D8">
      <w:pPr>
        <w:pStyle w:val="Heading2"/>
        <w:rPr>
          <w:rFonts w:ascii="Times New Roman" w:hAnsi="Times New Roman"/>
          <w:i w:val="0"/>
          <w:sz w:val="20"/>
        </w:rPr>
      </w:pPr>
    </w:p>
    <w:p w:rsidR="009D72D8" w:rsidRDefault="009D72D8" w:rsidP="009D72D8">
      <w:pPr>
        <w:pStyle w:val="Heading2"/>
        <w:rPr>
          <w:rFonts w:ascii="Times New Roman" w:hAnsi="Times New Roman"/>
          <w:i w:val="0"/>
          <w:sz w:val="20"/>
        </w:rPr>
      </w:pPr>
    </w:p>
    <w:p w:rsidR="009D72D8" w:rsidRDefault="009D72D8" w:rsidP="009D72D8">
      <w:pPr>
        <w:pStyle w:val="Heading2"/>
        <w:rPr>
          <w:rFonts w:ascii="Times New Roman" w:hAnsi="Times New Roman"/>
          <w:i w:val="0"/>
          <w:sz w:val="20"/>
        </w:rPr>
      </w:pPr>
    </w:p>
    <w:p w:rsidR="009D72D8" w:rsidRDefault="009D72D8" w:rsidP="009D72D8">
      <w:pPr>
        <w:pStyle w:val="Heading2"/>
        <w:rPr>
          <w:rFonts w:ascii="Times New Roman" w:hAnsi="Times New Roman"/>
          <w:i w:val="0"/>
          <w:sz w:val="20"/>
        </w:rPr>
      </w:pPr>
    </w:p>
    <w:p w:rsidR="009D72D8" w:rsidRDefault="009D72D8" w:rsidP="009D72D8">
      <w:pPr>
        <w:pStyle w:val="Heading2"/>
        <w:rPr>
          <w:rFonts w:ascii="Times New Roman" w:hAnsi="Times New Roman"/>
          <w:i w:val="0"/>
          <w:sz w:val="20"/>
        </w:rPr>
      </w:pPr>
    </w:p>
    <w:p w:rsidR="009D72D8" w:rsidRDefault="009D72D8" w:rsidP="009D72D8"/>
    <w:p w:rsidR="003F4CFA" w:rsidRDefault="003F4CFA" w:rsidP="009D72D8">
      <w:pPr>
        <w:pStyle w:val="Heading2"/>
        <w:rPr>
          <w:i w:val="0"/>
          <w:sz w:val="24"/>
          <w:szCs w:val="24"/>
        </w:rPr>
      </w:pPr>
    </w:p>
    <w:p w:rsidR="009D72D8" w:rsidRPr="00D767DA" w:rsidRDefault="009D72D8" w:rsidP="009D72D8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</w:t>
      </w:r>
      <w:r w:rsidRPr="00D767DA">
        <w:rPr>
          <w:i w:val="0"/>
          <w:sz w:val="24"/>
          <w:szCs w:val="24"/>
        </w:rPr>
        <w:t>esults</w:t>
      </w:r>
    </w:p>
    <w:p w:rsidR="009D72D8" w:rsidRPr="001C360E" w:rsidRDefault="009D72D8" w:rsidP="009D72D8">
      <w:pPr>
        <w:pStyle w:val="Heading2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New technologies promise shared energy savings and costs to customers and the utility</w:t>
      </w:r>
      <w:r w:rsidRPr="001C360E">
        <w:rPr>
          <w:rFonts w:ascii="Times New Roman" w:hAnsi="Times New Roman"/>
          <w:i w:val="0"/>
          <w:sz w:val="20"/>
        </w:rPr>
        <w:t>.</w:t>
      </w:r>
    </w:p>
    <w:p w:rsidR="009D72D8" w:rsidRDefault="009D72D8" w:rsidP="009D72D8">
      <w:r w:rsidRPr="000049F9">
        <w:t xml:space="preserve">Portfolio selection in Version </w:t>
      </w:r>
      <w:r>
        <w:t>4.0</w:t>
      </w:r>
      <w:r w:rsidRPr="000049F9">
        <w:t xml:space="preserve"> replaces previous versions' </w:t>
      </w:r>
      <w:r>
        <w:t>Cash-incentive to switch</w:t>
      </w:r>
      <w:r>
        <w:rPr>
          <w:rStyle w:val="EndnoteReference"/>
        </w:rPr>
        <w:endnoteReference w:id="7"/>
      </w:r>
      <w:r w:rsidRPr="000049F9">
        <w:t xml:space="preserve"> with an </w:t>
      </w:r>
      <w:r>
        <w:t xml:space="preserve">HVAC </w:t>
      </w:r>
    </w:p>
    <w:p w:rsidR="009D72D8" w:rsidRPr="000049F9" w:rsidRDefault="009D72D8" w:rsidP="009D72D8">
      <w:r>
        <w:t xml:space="preserve">System upgrade using </w:t>
      </w:r>
      <w:r w:rsidRPr="000049F9">
        <w:t>Energy</w:t>
      </w:r>
      <w:r>
        <w:t xml:space="preserve"> </w:t>
      </w:r>
      <w:r w:rsidRPr="000049F9">
        <w:t>Star</w:t>
      </w:r>
      <w:r>
        <w:t xml:space="preserve"> data for central air conditioning. The five additional Energy Star technologies are dehumidifier, dishwasher</w:t>
      </w:r>
      <w:proofErr w:type="gramStart"/>
      <w:r>
        <w:t xml:space="preserve">, </w:t>
      </w:r>
      <w:r w:rsidRPr="000049F9">
        <w:t xml:space="preserve"> </w:t>
      </w:r>
      <w:r>
        <w:t>water</w:t>
      </w:r>
      <w:proofErr w:type="gramEnd"/>
      <w:r>
        <w:t xml:space="preserve"> heating appliance, insulation upgrade, and glazing upgrade with controllable window blinds. </w:t>
      </w:r>
      <w:r w:rsidRPr="000049F9">
        <w:t xml:space="preserve">The utility offers </w:t>
      </w:r>
      <w:r w:rsidRPr="000049F9">
        <w:lastRenderedPageBreak/>
        <w:t xml:space="preserve">promotional incentives to encourage customer purchase of the new appliances. Additional energy-saving incentive is bundled in "Energy Conservation Assistance" </w:t>
      </w:r>
      <w:r>
        <w:t>as part of</w:t>
      </w:r>
      <w:r w:rsidRPr="000049F9">
        <w:t xml:space="preserve"> the ESP's Standard Offer</w:t>
      </w:r>
      <w:r>
        <w:t>.</w:t>
      </w:r>
      <w:r w:rsidRPr="000049F9">
        <w:t xml:space="preserve"> </w:t>
      </w:r>
      <w:r>
        <w:t>Pareto efficiency does not exclude negative profitability as a game solution for a particular Nash Coalition partner; nor does it exclude negativ</w:t>
      </w:r>
      <w:r w:rsidR="00B6586D">
        <w:t>e</w:t>
      </w:r>
      <w:r w:rsidR="00FE445F">
        <w:t xml:space="preserve"> producer</w:t>
      </w:r>
      <w:r>
        <w:t xml:space="preserve"> surplus for the market in the last forecast period. </w:t>
      </w:r>
    </w:p>
    <w:p w:rsidR="009D72D8" w:rsidRPr="000049F9" w:rsidRDefault="009D72D8" w:rsidP="009D72D8">
      <w:pPr>
        <w:pStyle w:val="Heading2"/>
        <w:rPr>
          <w:i w:val="0"/>
          <w:sz w:val="20"/>
        </w:rPr>
      </w:pPr>
      <w:r>
        <w:rPr>
          <w:rFonts w:ascii="Times New Roman" w:hAnsi="Times New Roman"/>
          <w:i w:val="0"/>
          <w:sz w:val="20"/>
        </w:rPr>
        <w:t>Are household markets as rational as commercial markets?</w:t>
      </w:r>
    </w:p>
    <w:p w:rsidR="009D72D8" w:rsidRPr="000049F9" w:rsidRDefault="009D72D8" w:rsidP="009D72D8">
      <w:pPr>
        <w:pStyle w:val="BodyText3"/>
        <w:jc w:val="left"/>
        <w:rPr>
          <w:sz w:val="20"/>
        </w:rPr>
      </w:pPr>
      <w:r>
        <w:rPr>
          <w:sz w:val="20"/>
        </w:rPr>
        <w:t>Multivariate regression analysis failed to show a significant relationship between “household” implicit discount rate and space conditioning capacity need, as was found in the Chicago retrofit commercial buildings market.</w:t>
      </w:r>
      <w:r>
        <w:rPr>
          <w:rStyle w:val="EndnoteReference"/>
          <w:sz w:val="20"/>
        </w:rPr>
        <w:endnoteReference w:id="8"/>
      </w:r>
      <w:r>
        <w:rPr>
          <w:sz w:val="20"/>
        </w:rPr>
        <w:t xml:space="preserve"> We therefore changed our focus from numerical quadrature and joint-log-normal integration of a new choice algorithm (as was proposed for Calgary 2010), to development and implementation of the conjectural building stock size shifts differing by purpose and household income. </w:t>
      </w:r>
      <w:r w:rsidR="007C4542">
        <w:rPr>
          <w:sz w:val="20"/>
        </w:rPr>
        <w:t>We also updated the installed costs of rooftop photovoltaic collectors to reflect</w:t>
      </w:r>
      <w:r w:rsidR="00DE57BA">
        <w:rPr>
          <w:sz w:val="20"/>
        </w:rPr>
        <w:t xml:space="preserve"> the reduced cost of solar between 2010 and 2015 with the introduction and penetration of cells manufactured in China.</w:t>
      </w:r>
      <w:r w:rsidR="00467866">
        <w:rPr>
          <w:rStyle w:val="EndnoteReference"/>
          <w:sz w:val="20"/>
        </w:rPr>
        <w:endnoteReference w:id="9"/>
      </w:r>
    </w:p>
    <w:p w:rsidR="00DC69F1" w:rsidRPr="00D767DA" w:rsidRDefault="00DC69F1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</w:p>
    <w:p w:rsidR="009D72D8" w:rsidRPr="00D767DA" w:rsidRDefault="009D72D8" w:rsidP="009D72D8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bookmarkStart w:id="0" w:name="_MON_1487998621"/>
    <w:bookmarkEnd w:id="0"/>
    <w:p w:rsidR="009D72D8" w:rsidRDefault="008224E3" w:rsidP="009D72D8">
      <w:r>
        <w:object w:dxaOrig="10709" w:dyaOrig="1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86.25pt" o:ole="">
            <v:imagedata r:id="rId10" o:title=""/>
          </v:shape>
          <o:OLEObject Type="Embed" ProgID="Excel.Sheet.12" ShapeID="_x0000_i1025" DrawAspect="Content" ObjectID="_1504128369" r:id="rId11"/>
        </w:object>
      </w:r>
    </w:p>
    <w:p w:rsidR="009D72D8" w:rsidRDefault="00E74FE2" w:rsidP="009D72D8">
      <w:r>
        <w:t>Per customer p</w:t>
      </w:r>
      <w:r w:rsidR="009D72D8">
        <w:t>roducer surplus equals market economic profit – equal in Shadowprice.com to total profit less normal profit from the Hayek price per kWh</w:t>
      </w:r>
      <w:r>
        <w:t>, divided by</w:t>
      </w:r>
      <w:r w:rsidR="009D72D8">
        <w:t xml:space="preserve"> the number of customers</w:t>
      </w:r>
      <w:r>
        <w:t xml:space="preserve"> (not including households receiving the Paul </w:t>
      </w:r>
      <w:proofErr w:type="spellStart"/>
      <w:r>
        <w:t>Joskow</w:t>
      </w:r>
      <w:proofErr w:type="spellEnd"/>
      <w:r>
        <w:t>-inspired Basic Electricity Service)</w:t>
      </w:r>
      <w:r w:rsidR="009D72D8">
        <w:t xml:space="preserve">. </w:t>
      </w:r>
      <w:r>
        <w:t>The Table’s small average negative charge “added” to the December customer bill is a testament to how well we believe the DOE Energy Star technologies are suited to the differing-sized housing stock we conjured out of whole cloth for this analysis.</w:t>
      </w:r>
      <w:bookmarkStart w:id="1" w:name="_GoBack"/>
      <w:bookmarkEnd w:id="1"/>
    </w:p>
    <w:p w:rsidR="009D72D8" w:rsidRDefault="009D72D8" w:rsidP="009D72D8"/>
    <w:p w:rsidR="009D72D8" w:rsidRDefault="009D72D8" w:rsidP="009D72D8">
      <w:r>
        <w:t xml:space="preserve">Consumer surplus is measured per (20,100 customer service-class) household in the Shadowprice.com game of maximum price discrimination specific to (high or low) price regime. </w:t>
      </w:r>
    </w:p>
    <w:p w:rsidR="009D72D8" w:rsidRDefault="009D72D8" w:rsidP="009D72D8"/>
    <w:p w:rsidR="009D72D8" w:rsidRDefault="009D72D8" w:rsidP="009D72D8">
      <w:r>
        <w:t xml:space="preserve">Along the heuristic-scenario-simulation path, the paper additionally found that Basic Electricity Service could attract a large share of the market in particular competitive settings – above 50% </w:t>
      </w:r>
      <w:r w:rsidR="008224E3">
        <w:t>six</w:t>
      </w:r>
      <w:r>
        <w:t xml:space="preserve"> times and with average-market-share-maximums of </w:t>
      </w:r>
      <w:r w:rsidR="008224E3">
        <w:t>14.21</w:t>
      </w:r>
      <w:r>
        <w:t xml:space="preserve">% under a high base load price regime and </w:t>
      </w:r>
      <w:r w:rsidR="008224E3">
        <w:t>33.97</w:t>
      </w:r>
      <w:r>
        <w:t>% under a low base load price regime.</w:t>
      </w:r>
    </w:p>
    <w:p w:rsidR="00C36F47" w:rsidRDefault="00C36F47">
      <w:pPr>
        <w:pStyle w:val="Heading2"/>
        <w:rPr>
          <w:i w:val="0"/>
          <w:sz w:val="24"/>
          <w:szCs w:val="24"/>
        </w:rPr>
      </w:pPr>
    </w:p>
    <w:p w:rsidR="00DC69F1" w:rsidRPr="00A247C7" w:rsidRDefault="00C36F47">
      <w:pPr>
        <w:pStyle w:val="Heading2"/>
        <w:rPr>
          <w:rFonts w:ascii="Times New Roman" w:hAnsi="Times New Roman"/>
          <w:i w:val="0"/>
          <w:sz w:val="20"/>
        </w:rPr>
      </w:pPr>
      <w:r w:rsidRPr="00D767DA">
        <w:rPr>
          <w:i w:val="0"/>
          <w:sz w:val="24"/>
          <w:szCs w:val="24"/>
        </w:rPr>
        <w:t>References</w:t>
      </w:r>
    </w:p>
    <w:sectPr w:rsidR="00DC69F1" w:rsidRPr="00A247C7" w:rsidSect="00C36F47">
      <w:head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1D" w:rsidRDefault="009F591D">
      <w:r>
        <w:separator/>
      </w:r>
    </w:p>
  </w:endnote>
  <w:endnote w:type="continuationSeparator" w:id="0">
    <w:p w:rsidR="009F591D" w:rsidRDefault="009F591D">
      <w:r>
        <w:continuationSeparator/>
      </w:r>
    </w:p>
  </w:endnote>
  <w:endnote w:id="1">
    <w:p w:rsidR="009D72D8" w:rsidRDefault="009D72D8" w:rsidP="009D72D8">
      <w:pPr>
        <w:pStyle w:val="EndnoteText"/>
      </w:pPr>
      <w:r>
        <w:rPr>
          <w:rStyle w:val="EndnoteReference"/>
        </w:rPr>
        <w:endnoteRef/>
      </w:r>
      <w:r>
        <w:t xml:space="preserve"> Hamblin, D.M., 2010. “Welfare Impacts of Single-Provider Residential-Electricity-Service Price Discrimination,” 29</w:t>
      </w:r>
      <w:r w:rsidRPr="00A31DA2">
        <w:t>th</w:t>
      </w:r>
      <w:r>
        <w:t xml:space="preserve"> USAEE/IAEE North American Conference: Calgary, Alberta.</w:t>
      </w:r>
    </w:p>
  </w:endnote>
  <w:endnote w:id="2">
    <w:p w:rsidR="009D72D8" w:rsidRDefault="009D72D8" w:rsidP="009D72D8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Asimakopulos</w:t>
      </w:r>
      <w:proofErr w:type="spellEnd"/>
      <w:r>
        <w:t xml:space="preserve">, A. 1978. </w:t>
      </w:r>
      <w:r w:rsidRPr="008C6509">
        <w:rPr>
          <w:i/>
        </w:rPr>
        <w:t>An Introduction to Economic Theory: Microeconomics</w:t>
      </w:r>
      <w:r>
        <w:t xml:space="preserve">: 2.15 Income and cross </w:t>
      </w:r>
      <w:proofErr w:type="spellStart"/>
      <w:r>
        <w:t>elacity</w:t>
      </w:r>
      <w:proofErr w:type="spellEnd"/>
      <w:r>
        <w:t xml:space="preserve"> of demand. Toronto, Oxford University Press.</w:t>
      </w:r>
    </w:p>
  </w:endnote>
  <w:endnote w:id="3">
    <w:p w:rsidR="009D72D8" w:rsidRPr="00206D5C" w:rsidRDefault="009D72D8" w:rsidP="009D72D8">
      <w:pPr>
        <w:pStyle w:val="EndnoteText"/>
      </w:pPr>
      <w:r w:rsidRPr="00206D5C">
        <w:rPr>
          <w:rStyle w:val="EndnoteReference"/>
        </w:rPr>
        <w:endnoteRef/>
      </w:r>
      <w:r>
        <w:t xml:space="preserve"> </w:t>
      </w:r>
      <w:proofErr w:type="spellStart"/>
      <w:r>
        <w:t>Joskow</w:t>
      </w:r>
      <w:proofErr w:type="spellEnd"/>
      <w:r>
        <w:t>, P.</w:t>
      </w:r>
      <w:r w:rsidRPr="00206D5C">
        <w:t xml:space="preserve">L. 2001. </w:t>
      </w:r>
      <w:r w:rsidRPr="00206D5C">
        <w:rPr>
          <w:i/>
        </w:rPr>
        <w:t xml:space="preserve">Why do we need electricity retailers? </w:t>
      </w:r>
      <w:proofErr w:type="gramStart"/>
      <w:r w:rsidRPr="00206D5C">
        <w:rPr>
          <w:i/>
        </w:rPr>
        <w:t>or</w:t>
      </w:r>
      <w:proofErr w:type="gramEnd"/>
      <w:r w:rsidRPr="00206D5C">
        <w:rPr>
          <w:i/>
        </w:rPr>
        <w:t xml:space="preserve"> Can you get it cheaper wholesale?</w:t>
      </w:r>
      <w:r w:rsidRPr="00206D5C">
        <w:t xml:space="preserve"> Unpublished Massachusetts Institute of Technology Department of Economics Discussion Paper. </w:t>
      </w:r>
    </w:p>
  </w:endnote>
  <w:endnote w:id="4">
    <w:p w:rsidR="009D72D8" w:rsidRPr="00206D5C" w:rsidRDefault="009D72D8" w:rsidP="009D72D8">
      <w:pPr>
        <w:pStyle w:val="EndnoteText"/>
      </w:pPr>
      <w:r w:rsidRPr="00206D5C">
        <w:rPr>
          <w:rStyle w:val="EndnoteReference"/>
        </w:rPr>
        <w:endnoteRef/>
      </w:r>
      <w:r w:rsidRPr="00206D5C">
        <w:t xml:space="preserve"> Massachusetts Electric Co. 2002. </w:t>
      </w:r>
      <w:r w:rsidRPr="00206D5C">
        <w:rPr>
          <w:i/>
        </w:rPr>
        <w:t>Default Service Pricing.</w:t>
      </w:r>
      <w:r w:rsidRPr="00206D5C">
        <w:t xml:space="preserve"> </w:t>
      </w:r>
      <w:hyperlink r:id="rId1" w:history="1">
        <w:r w:rsidRPr="00206D5C">
          <w:rPr>
            <w:rStyle w:val="Hyperlink"/>
          </w:rPr>
          <w:t>www.masselectric.com/res/default/index.htm</w:t>
        </w:r>
      </w:hyperlink>
      <w:r w:rsidRPr="00206D5C">
        <w:t>.</w:t>
      </w:r>
    </w:p>
  </w:endnote>
  <w:endnote w:id="5">
    <w:p w:rsidR="009D72D8" w:rsidRPr="00206D5C" w:rsidRDefault="009D72D8" w:rsidP="009D72D8">
      <w:pPr>
        <w:pStyle w:val="EndnoteText"/>
      </w:pPr>
      <w:r w:rsidRPr="00206D5C">
        <w:rPr>
          <w:rStyle w:val="EndnoteReference"/>
        </w:rPr>
        <w:endnoteRef/>
      </w:r>
      <w:r w:rsidRPr="00206D5C">
        <w:t xml:space="preserve"> Cost/performance evidence from </w:t>
      </w:r>
      <w:r>
        <w:t xml:space="preserve">the U.S. Department of Energy certified products web links page </w:t>
      </w:r>
      <w:hyperlink r:id="rId2" w:history="1">
        <w:r w:rsidRPr="00111DF8">
          <w:rPr>
            <w:rStyle w:val="Hyperlink"/>
          </w:rPr>
          <w:t>http://www.energystar.gov/products/certified-products</w:t>
        </w:r>
      </w:hyperlink>
      <w:r>
        <w:t xml:space="preserve"> , </w:t>
      </w:r>
      <w:r w:rsidRPr="00206D5C">
        <w:t>the HHS/HUD/DOE Energy Efficient Rehab Advisor; and from other sources.</w:t>
      </w:r>
    </w:p>
  </w:endnote>
  <w:endnote w:id="6">
    <w:p w:rsidR="009D72D8" w:rsidRPr="00206D5C" w:rsidRDefault="009D72D8" w:rsidP="009D72D8">
      <w:pPr>
        <w:pStyle w:val="EndnoteText"/>
      </w:pPr>
      <w:r w:rsidRPr="00206D5C">
        <w:rPr>
          <w:rStyle w:val="EndnoteReference"/>
        </w:rPr>
        <w:endnoteRef/>
      </w:r>
      <w:r w:rsidRPr="00206D5C">
        <w:t xml:space="preserve"> Arrow</w:t>
      </w:r>
      <w:r>
        <w:t>, K.</w:t>
      </w:r>
      <w:r w:rsidRPr="00206D5C">
        <w:t xml:space="preserve">J., 1967. “Values and Collective Decision Making,” in </w:t>
      </w:r>
      <w:r w:rsidRPr="00206D5C">
        <w:rPr>
          <w:i/>
        </w:rPr>
        <w:t>Philosophy and Economic Theory</w:t>
      </w:r>
      <w:r w:rsidRPr="00206D5C">
        <w:t>, Frank Hahn and Martin Hollis eds., New York: Oxford University Press, 1979.</w:t>
      </w:r>
    </w:p>
  </w:endnote>
  <w:endnote w:id="7">
    <w:p w:rsidR="009D72D8" w:rsidRDefault="009D72D8" w:rsidP="009D72D8">
      <w:pPr>
        <w:pStyle w:val="EndnoteText"/>
      </w:pPr>
      <w:r>
        <w:rPr>
          <w:rStyle w:val="EndnoteReference"/>
        </w:rPr>
        <w:endnoteRef/>
      </w:r>
      <w:r>
        <w:t xml:space="preserve"> Hamblin, D.M., Op. Cit., Fig. 1, p. 6.</w:t>
      </w:r>
    </w:p>
  </w:endnote>
  <w:endnote w:id="8">
    <w:p w:rsidR="009D72D8" w:rsidRPr="00DA1278" w:rsidRDefault="009D72D8" w:rsidP="009D72D8">
      <w:pPr>
        <w:pStyle w:val="EndnoteText"/>
      </w:pPr>
      <w:r>
        <w:rPr>
          <w:rStyle w:val="EndnoteReference"/>
        </w:rPr>
        <w:endnoteRef/>
      </w:r>
      <w:r>
        <w:t xml:space="preserve"> Hamblin, D.M., G.D. Pine, R. </w:t>
      </w:r>
      <w:proofErr w:type="spellStart"/>
      <w:r>
        <w:t>Maddigan</w:t>
      </w:r>
      <w:proofErr w:type="spellEnd"/>
      <w:r>
        <w:t xml:space="preserve">, J.M. MacDonald, H.A. McClain, and J.Y. </w:t>
      </w:r>
      <w:proofErr w:type="spellStart"/>
      <w:r>
        <w:t>Rimpo</w:t>
      </w:r>
      <w:proofErr w:type="spellEnd"/>
      <w:r>
        <w:t xml:space="preserve">, 1990. “Commercial Sector Gas Cooling Technology Frontier and Market Share Analysis,” </w:t>
      </w:r>
      <w:r w:rsidRPr="00DA1278">
        <w:rPr>
          <w:i/>
        </w:rPr>
        <w:t>Energy Supply/Demand Balances: Options and Costs</w:t>
      </w:r>
      <w:r>
        <w:t>: International Association for Energy Economics.</w:t>
      </w:r>
    </w:p>
  </w:endnote>
  <w:endnote w:id="9">
    <w:p w:rsidR="00467866" w:rsidRDefault="00467866">
      <w:pPr>
        <w:pStyle w:val="EndnoteText"/>
      </w:pPr>
      <w:r>
        <w:rPr>
          <w:rStyle w:val="EndnoteReference"/>
        </w:rPr>
        <w:endnoteRef/>
      </w:r>
      <w:r>
        <w:t xml:space="preserve"> Year-to-year PV panel cost reductions extrapolated from David Feldman et al., 2014, Photovoltaic System Pricing Trends: Historical, Recent, and Near-Term Projections. NREL/PR-6A20-62558, </w:t>
      </w:r>
      <w:r w:rsidRPr="00467866">
        <w:rPr>
          <w:color w:val="0070C0"/>
          <w:u w:val="single"/>
        </w:rPr>
        <w:t>http://www.nrel.gov/docs/fy14osti/62558.pdf</w:t>
      </w:r>
      <w:r>
        <w:rPr>
          <w:color w:val="0070C0"/>
          <w:u w:val="singl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1D" w:rsidRDefault="009F591D">
      <w:r>
        <w:separator/>
      </w:r>
    </w:p>
  </w:footnote>
  <w:footnote w:type="continuationSeparator" w:id="0">
    <w:p w:rsidR="009F591D" w:rsidRDefault="009F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0560A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C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08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2A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07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94E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02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6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68B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BC12B38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262CE54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274BE2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0D6D19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BABFC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4424E1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9E6D51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A26BC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AB6983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10D89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6C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85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E8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C7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885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80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70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166206F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1324BAC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63447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8A4B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DE77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5AC9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C64E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C0CE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FEAD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089219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661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A8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C8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25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C2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241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67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84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445A8DF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8924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46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4E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CB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CA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25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5A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F92C9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2B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BC1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64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44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BC6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4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00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E7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200E3C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884A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68F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C69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706BF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3260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32D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492B3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58A68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EB56CC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728B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923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2C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B859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9D637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EB45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6AC4E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E96E0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448C0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88F0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7ACB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F187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6E97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11A7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9A2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5AA6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9D81E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B7024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0F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E06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4F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EC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25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81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4B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9A3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26C8182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544EB52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6ACEDE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F98A6C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59C0C8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598844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1B4A81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78A174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742DBB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E9448C6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C62B97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DA6BDC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64AF92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2364323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BE02CDE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EE79CE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3D181E0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39D29BF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F40C2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E2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88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C4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1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D65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2A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163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9482B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21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6E6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C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E9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204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06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E8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00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FA46DF8E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A02F8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9B28DC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74C1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50020E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8FCC0C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99CF83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6B4CE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F2CAD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CC403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C0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223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EA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8F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FA1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8F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66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1C8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200D0"/>
    <w:rsid w:val="00186DE0"/>
    <w:rsid w:val="002E14AA"/>
    <w:rsid w:val="003F4CFA"/>
    <w:rsid w:val="00467866"/>
    <w:rsid w:val="004A675F"/>
    <w:rsid w:val="004C048E"/>
    <w:rsid w:val="005A5112"/>
    <w:rsid w:val="005B329A"/>
    <w:rsid w:val="00613A37"/>
    <w:rsid w:val="007C4542"/>
    <w:rsid w:val="008224E3"/>
    <w:rsid w:val="0099364C"/>
    <w:rsid w:val="009B581D"/>
    <w:rsid w:val="009D72D8"/>
    <w:rsid w:val="009F591D"/>
    <w:rsid w:val="00A96D21"/>
    <w:rsid w:val="00B02B7D"/>
    <w:rsid w:val="00B6586D"/>
    <w:rsid w:val="00C36F47"/>
    <w:rsid w:val="00CA0507"/>
    <w:rsid w:val="00D351D8"/>
    <w:rsid w:val="00D96034"/>
    <w:rsid w:val="00DC69F1"/>
    <w:rsid w:val="00DE57BA"/>
    <w:rsid w:val="00E046B2"/>
    <w:rsid w:val="00E45A77"/>
    <w:rsid w:val="00E74FE2"/>
    <w:rsid w:val="00E9636B"/>
    <w:rsid w:val="00EE5954"/>
    <w:rsid w:val="00F01015"/>
    <w:rsid w:val="00F344CF"/>
    <w:rsid w:val="00FA23DE"/>
    <w:rsid w:val="00FC73E0"/>
    <w:rsid w:val="00FE445F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35FDF-2B1C-4C48-A363-6D52FE4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9D72D8"/>
    <w:rPr>
      <w:lang w:val="en-US"/>
    </w:rPr>
  </w:style>
  <w:style w:type="character" w:customStyle="1" w:styleId="EndnoteTextChar">
    <w:name w:val="Endnote Text Char"/>
    <w:basedOn w:val="DefaultParagraphFont"/>
    <w:link w:val="EndnoteText"/>
    <w:rsid w:val="009D72D8"/>
    <w:rPr>
      <w:rFonts w:ascii="Times New Roman" w:hAnsi="Times New Roman"/>
    </w:rPr>
  </w:style>
  <w:style w:type="character" w:styleId="EndnoteReference">
    <w:name w:val="endnote reference"/>
    <w:rsid w:val="009D72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72D8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3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6F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star.gov/products/certified-products" TargetMode="External"/><Relationship Id="rId1" Type="http://schemas.openxmlformats.org/officeDocument/2006/relationships/hyperlink" Target="http://www.masselectric.com/res/defaul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514B-98BA-4AD5-B3D5-6001C8BB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WS1</dc:creator>
  <cp:keywords/>
  <cp:lastModifiedBy>Dan Hamblin</cp:lastModifiedBy>
  <cp:revision>6</cp:revision>
  <cp:lastPrinted>2015-09-19T04:16:00Z</cp:lastPrinted>
  <dcterms:created xsi:type="dcterms:W3CDTF">2015-03-16T15:37:00Z</dcterms:created>
  <dcterms:modified xsi:type="dcterms:W3CDTF">2015-09-19T04:40:00Z</dcterms:modified>
</cp:coreProperties>
</file>