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129" w:rsidRPr="00C62129" w:rsidRDefault="00C62129" w:rsidP="00C62129">
      <w:pPr>
        <w:pStyle w:val="berschrift1"/>
        <w:framePr w:w="10475" w:h="1892" w:hRule="exact" w:hSpace="187" w:wrap="auto" w:vAnchor="page" w:hAnchor="page" w:x="864" w:y="752"/>
        <w:rPr>
          <w:rFonts w:ascii="Times New Roman" w:hAnsi="Times New Roman"/>
          <w:i/>
          <w:caps/>
          <w:color w:val="000000" w:themeColor="text1"/>
          <w:lang w:val="en-US"/>
        </w:rPr>
      </w:pPr>
      <w:r>
        <w:rPr>
          <w:rFonts w:ascii="Times New Roman" w:hAnsi="Times New Roman"/>
          <w:i/>
          <w:caps/>
          <w:color w:val="000000" w:themeColor="text1"/>
          <w:lang w:val="en-US"/>
        </w:rPr>
        <w:t>O</w:t>
      </w:r>
      <w:r w:rsidRPr="00C62129">
        <w:rPr>
          <w:rFonts w:ascii="Times New Roman" w:hAnsi="Times New Roman"/>
          <w:i/>
          <w:caps/>
          <w:color w:val="000000" w:themeColor="text1"/>
          <w:lang w:val="en-US"/>
        </w:rPr>
        <w:t>n</w:t>
      </w:r>
      <w:r>
        <w:rPr>
          <w:rFonts w:ascii="Times New Roman" w:hAnsi="Times New Roman"/>
          <w:i/>
          <w:caps/>
          <w:color w:val="000000" w:themeColor="text1"/>
          <w:lang w:val="en-US"/>
        </w:rPr>
        <w:t xml:space="preserve"> </w:t>
      </w:r>
      <w:r w:rsidR="00752035">
        <w:rPr>
          <w:rFonts w:ascii="Times New Roman" w:hAnsi="Times New Roman"/>
          <w:i/>
          <w:caps/>
          <w:color w:val="000000" w:themeColor="text1"/>
          <w:lang w:val="en-US"/>
        </w:rPr>
        <w:t xml:space="preserve">INTEGRATING LARGE SHARES OF RENEWABLES INTO THE ELECTRICITY SYSTEM </w:t>
      </w:r>
    </w:p>
    <w:p w:rsidR="00C62129" w:rsidRPr="00C62129" w:rsidRDefault="004732B9" w:rsidP="00C62129">
      <w:pPr>
        <w:pStyle w:val="berschrift3"/>
        <w:framePr w:w="10475" w:h="1892" w:hRule="exact" w:hSpace="187" w:wrap="auto" w:vAnchor="page" w:hAnchor="page" w:x="864" w:y="752"/>
        <w:spacing w:before="0"/>
        <w:jc w:val="right"/>
        <w:rPr>
          <w:bCs w:val="0"/>
          <w:i/>
          <w:iCs/>
          <w:color w:val="000000" w:themeColor="text1"/>
          <w:lang w:val="pt-PT"/>
        </w:rPr>
      </w:pPr>
      <w:r>
        <w:rPr>
          <w:rFonts w:ascii="Times New Roman" w:hAnsi="Times New Roman"/>
          <w:b w:val="0"/>
          <w:bCs w:val="0"/>
          <w:color w:val="000000" w:themeColor="text1"/>
          <w:lang w:val="pt-PT"/>
        </w:rPr>
        <w:t>Reinhard HAAS</w:t>
      </w:r>
      <w:r w:rsidR="00D53C4F">
        <w:rPr>
          <w:rFonts w:ascii="Times New Roman" w:hAnsi="Times New Roman"/>
          <w:b w:val="0"/>
          <w:bCs w:val="0"/>
          <w:color w:val="000000" w:themeColor="text1"/>
          <w:lang w:val="pt-PT"/>
        </w:rPr>
        <w:t>, Hans AUER</w:t>
      </w:r>
    </w:p>
    <w:p w:rsidR="00C62129" w:rsidRDefault="00C62129" w:rsidP="00C62129">
      <w:pPr>
        <w:pStyle w:val="Textkrper"/>
        <w:framePr w:w="10475" w:h="1892" w:hRule="exact" w:hSpace="187" w:wrap="auto" w:vAnchor="page" w:hAnchor="page" w:x="864" w:y="752"/>
        <w:jc w:val="right"/>
      </w:pPr>
      <w:r>
        <w:t>Energy Economics Group</w:t>
      </w:r>
      <w:r w:rsidRPr="00A41986">
        <w:t xml:space="preserve">, </w:t>
      </w:r>
      <w:r>
        <w:t xml:space="preserve">Vienna University of </w:t>
      </w:r>
      <w:r w:rsidRPr="00A41986">
        <w:t>T</w:t>
      </w:r>
      <w:r>
        <w:t>echnology, 1040 Wien,</w:t>
      </w:r>
      <w:r w:rsidRPr="00A41986">
        <w:t xml:space="preserve"> E-mail: </w:t>
      </w:r>
      <w:hyperlink r:id="rId6" w:history="1">
        <w:r w:rsidR="00A232E8" w:rsidRPr="004A7986">
          <w:rPr>
            <w:rStyle w:val="Hyperlink"/>
          </w:rPr>
          <w:t>Haas@eeg.tuwien.ac.at</w:t>
        </w:r>
      </w:hyperlink>
    </w:p>
    <w:p w:rsidR="005B22C4" w:rsidRDefault="005B22C4" w:rsidP="00C63E59">
      <w:pPr>
        <w:spacing w:before="120" w:after="60"/>
        <w:rPr>
          <w:rFonts w:ascii="Arial" w:eastAsia="Times New Roman" w:hAnsi="Arial" w:cs="Arial"/>
          <w:b/>
          <w:spacing w:val="-3"/>
          <w:sz w:val="24"/>
          <w:szCs w:val="24"/>
          <w:lang w:val="en-US"/>
        </w:rPr>
      </w:pPr>
    </w:p>
    <w:p w:rsidR="00404473" w:rsidRDefault="004E1ED5" w:rsidP="00C63E59">
      <w:pPr>
        <w:spacing w:before="120" w:after="60"/>
        <w:rPr>
          <w:rFonts w:ascii="Arial" w:eastAsia="Times New Roman" w:hAnsi="Arial" w:cs="Arial"/>
          <w:b/>
          <w:spacing w:val="-3"/>
          <w:sz w:val="24"/>
          <w:szCs w:val="24"/>
          <w:lang w:val="en-US"/>
        </w:rPr>
      </w:pPr>
      <w:r w:rsidRPr="00C63E59">
        <w:rPr>
          <w:rFonts w:ascii="Arial" w:eastAsia="Times New Roman" w:hAnsi="Arial" w:cs="Arial"/>
          <w:b/>
          <w:spacing w:val="-3"/>
          <w:sz w:val="24"/>
          <w:szCs w:val="24"/>
          <w:lang w:val="en-US"/>
        </w:rPr>
        <w:t>Overview</w:t>
      </w:r>
    </w:p>
    <w:p w:rsidR="00752035" w:rsidRPr="00752035" w:rsidRDefault="004732B9" w:rsidP="00752035">
      <w:pPr>
        <w:spacing w:after="0" w:line="240" w:lineRule="auto"/>
        <w:jc w:val="both"/>
        <w:rPr>
          <w:rFonts w:ascii="Times New Roman" w:hAnsi="Times New Roman" w:cs="Times New Roman"/>
          <w:sz w:val="20"/>
          <w:szCs w:val="20"/>
          <w:lang w:val="en-US"/>
        </w:rPr>
      </w:pPr>
      <w:r w:rsidRPr="00A232E8">
        <w:rPr>
          <w:rFonts w:ascii="Times New Roman" w:hAnsi="Times New Roman" w:cs="Times New Roman"/>
          <w:sz w:val="20"/>
          <w:szCs w:val="20"/>
          <w:lang w:val="en-US"/>
        </w:rPr>
        <w:t xml:space="preserve">The </w:t>
      </w:r>
      <w:r w:rsidRPr="00A232E8">
        <w:rPr>
          <w:rFonts w:ascii="Times New Roman" w:hAnsi="Times New Roman" w:cs="Times New Roman"/>
          <w:sz w:val="20"/>
          <w:szCs w:val="20"/>
          <w:lang w:val="en-US"/>
        </w:rPr>
        <w:t xml:space="preserve">European Commission has set ambitious targets for increasing the share of electricity from renewable energy sources (RES-E). In recent years especially electricity generation from variable sources like wind and solar has increased remarkably. </w:t>
      </w:r>
      <w:r w:rsidR="00400AB7">
        <w:rPr>
          <w:rFonts w:ascii="Times New Roman" w:hAnsi="Times New Roman" w:cs="Times New Roman"/>
          <w:sz w:val="20"/>
          <w:szCs w:val="20"/>
          <w:lang w:val="en-US"/>
        </w:rPr>
        <w:t xml:space="preserve"> </w:t>
      </w:r>
      <w:r w:rsidRPr="004732B9">
        <w:rPr>
          <w:rFonts w:ascii="Times New Roman" w:hAnsi="Times New Roman" w:cs="Times New Roman"/>
          <w:sz w:val="20"/>
          <w:szCs w:val="20"/>
          <w:lang w:val="en-US"/>
        </w:rPr>
        <w:t xml:space="preserve">Mainly in Germany, electricity generation from renewables has been growing at a remarkable rate. Between 1990 and 2012 </w:t>
      </w:r>
      <w:r w:rsidR="00D53C4F">
        <w:rPr>
          <w:rFonts w:ascii="Times New Roman" w:hAnsi="Times New Roman" w:cs="Times New Roman"/>
          <w:sz w:val="20"/>
          <w:szCs w:val="20"/>
          <w:lang w:val="en-US"/>
        </w:rPr>
        <w:t xml:space="preserve">in the EU-28 </w:t>
      </w:r>
      <w:r w:rsidRPr="004732B9">
        <w:rPr>
          <w:rFonts w:ascii="Times New Roman" w:hAnsi="Times New Roman" w:cs="Times New Roman"/>
          <w:sz w:val="20"/>
          <w:szCs w:val="20"/>
          <w:lang w:val="en-US"/>
        </w:rPr>
        <w:t>“new” renewables excluding hydro grew from less than 1% to about 12%, mainly from wind.</w:t>
      </w:r>
      <w:r w:rsidR="00EF0B2B">
        <w:rPr>
          <w:rFonts w:ascii="Times New Roman" w:hAnsi="Times New Roman" w:cs="Times New Roman"/>
          <w:sz w:val="20"/>
          <w:szCs w:val="20"/>
          <w:lang w:val="en-US"/>
        </w:rPr>
        <w:t xml:space="preserve"> In addition, the EU has set further ambit</w:t>
      </w:r>
      <w:r w:rsidR="00D53C4F">
        <w:rPr>
          <w:rFonts w:ascii="Times New Roman" w:hAnsi="Times New Roman" w:cs="Times New Roman"/>
          <w:sz w:val="20"/>
          <w:szCs w:val="20"/>
          <w:lang w:val="en-US"/>
        </w:rPr>
        <w:t>i</w:t>
      </w:r>
      <w:r w:rsidR="00EF0B2B">
        <w:rPr>
          <w:rFonts w:ascii="Times New Roman" w:hAnsi="Times New Roman" w:cs="Times New Roman"/>
          <w:sz w:val="20"/>
          <w:szCs w:val="20"/>
          <w:lang w:val="en-US"/>
        </w:rPr>
        <w:t xml:space="preserve">ous targets of a share of 27% (compared to about 14% in 2012) energy from </w:t>
      </w:r>
      <w:r w:rsidR="00EF0B2B" w:rsidRPr="00A232E8">
        <w:rPr>
          <w:rFonts w:ascii="Times New Roman" w:hAnsi="Times New Roman" w:cs="Times New Roman"/>
          <w:sz w:val="20"/>
          <w:szCs w:val="20"/>
          <w:lang w:val="en-US"/>
        </w:rPr>
        <w:t>renewable energy sources (RES)</w:t>
      </w:r>
      <w:r w:rsidR="00EF0B2B">
        <w:rPr>
          <w:rFonts w:ascii="Times New Roman" w:hAnsi="Times New Roman" w:cs="Times New Roman"/>
          <w:sz w:val="20"/>
          <w:szCs w:val="20"/>
          <w:lang w:val="en-US"/>
        </w:rPr>
        <w:t xml:space="preserve"> by 2030.</w:t>
      </w:r>
      <w:r w:rsidR="00D53C4F">
        <w:rPr>
          <w:rFonts w:ascii="Times New Roman" w:hAnsi="Times New Roman" w:cs="Times New Roman"/>
          <w:sz w:val="20"/>
          <w:szCs w:val="20"/>
          <w:lang w:val="en-US"/>
        </w:rPr>
        <w:t xml:space="preserve"> This target is for all uses, heat, </w:t>
      </w:r>
      <w:r w:rsidR="00D53C4F" w:rsidRPr="00D53C4F">
        <w:rPr>
          <w:rFonts w:ascii="Times New Roman" w:hAnsi="Times New Roman" w:cs="Times New Roman"/>
          <w:sz w:val="20"/>
          <w:szCs w:val="20"/>
          <w:lang w:val="en-US"/>
        </w:rPr>
        <w:t>electricity</w:t>
      </w:r>
      <w:r w:rsidR="00D53C4F">
        <w:rPr>
          <w:rFonts w:ascii="Times New Roman" w:hAnsi="Times New Roman" w:cs="Times New Roman"/>
          <w:sz w:val="20"/>
          <w:szCs w:val="20"/>
          <w:lang w:val="en-US"/>
        </w:rPr>
        <w:t xml:space="preserve"> and transport. </w:t>
      </w:r>
      <w:r w:rsidR="00EF0B2B">
        <w:rPr>
          <w:rFonts w:ascii="Times New Roman" w:hAnsi="Times New Roman" w:cs="Times New Roman"/>
          <w:sz w:val="20"/>
          <w:szCs w:val="20"/>
          <w:lang w:val="en-US"/>
        </w:rPr>
        <w:t xml:space="preserve"> Consequently, also RES-E will grow further continuously, despite it is not clear to which absolute level, Fig.1</w:t>
      </w:r>
      <w:r w:rsidR="00EF0B2B" w:rsidRPr="00A232E8">
        <w:rPr>
          <w:rFonts w:ascii="Times New Roman" w:hAnsi="Times New Roman" w:cs="Times New Roman"/>
          <w:sz w:val="20"/>
          <w:szCs w:val="20"/>
          <w:lang w:val="en-US"/>
        </w:rPr>
        <w:t>.</w:t>
      </w:r>
      <w:r w:rsidR="00D53C4F">
        <w:rPr>
          <w:rFonts w:ascii="Times New Roman" w:hAnsi="Times New Roman" w:cs="Times New Roman"/>
          <w:sz w:val="20"/>
          <w:szCs w:val="20"/>
          <w:lang w:val="en-US"/>
        </w:rPr>
        <w:t xml:space="preserve"> Yet, variable RES-E </w:t>
      </w:r>
      <w:proofErr w:type="gramStart"/>
      <w:r w:rsidR="00D53C4F">
        <w:rPr>
          <w:rFonts w:ascii="Times New Roman" w:hAnsi="Times New Roman" w:cs="Times New Roman"/>
          <w:sz w:val="20"/>
          <w:szCs w:val="20"/>
          <w:lang w:val="en-US"/>
        </w:rPr>
        <w:t>do</w:t>
      </w:r>
      <w:proofErr w:type="gramEnd"/>
      <w:r w:rsidR="00D53C4F">
        <w:rPr>
          <w:rFonts w:ascii="Times New Roman" w:hAnsi="Times New Roman" w:cs="Times New Roman"/>
          <w:sz w:val="20"/>
          <w:szCs w:val="20"/>
          <w:lang w:val="en-US"/>
        </w:rPr>
        <w:t xml:space="preserve"> not provide </w:t>
      </w:r>
      <w:r w:rsidR="00D53C4F" w:rsidRPr="00A232E8">
        <w:rPr>
          <w:rFonts w:ascii="Times New Roman" w:hAnsi="Times New Roman" w:cs="Times New Roman"/>
          <w:sz w:val="20"/>
          <w:szCs w:val="20"/>
          <w:lang w:val="en-US"/>
        </w:rPr>
        <w:t>electricity</w:t>
      </w:r>
      <w:r w:rsidR="00D53C4F">
        <w:rPr>
          <w:rFonts w:ascii="Times New Roman" w:hAnsi="Times New Roman" w:cs="Times New Roman"/>
          <w:sz w:val="20"/>
          <w:szCs w:val="20"/>
          <w:lang w:val="en-US"/>
        </w:rPr>
        <w:t xml:space="preserve"> </w:t>
      </w:r>
      <w:proofErr w:type="spellStart"/>
      <w:r w:rsidR="00D53C4F">
        <w:rPr>
          <w:rFonts w:ascii="Times New Roman" w:hAnsi="Times New Roman" w:cs="Times New Roman"/>
          <w:sz w:val="20"/>
          <w:szCs w:val="20"/>
          <w:lang w:val="en-US"/>
        </w:rPr>
        <w:t>simultanuously</w:t>
      </w:r>
      <w:proofErr w:type="spellEnd"/>
      <w:r w:rsidR="00D53C4F">
        <w:rPr>
          <w:rFonts w:ascii="Times New Roman" w:hAnsi="Times New Roman" w:cs="Times New Roman"/>
          <w:sz w:val="20"/>
          <w:szCs w:val="20"/>
          <w:lang w:val="en-US"/>
        </w:rPr>
        <w:t xml:space="preserve"> with demand. It is important to note, that</w:t>
      </w:r>
      <w:r w:rsidR="00D53C4F">
        <w:rPr>
          <w:rFonts w:ascii="Times New Roman" w:hAnsi="Times New Roman" w:cs="Times New Roman"/>
          <w:sz w:val="20"/>
          <w:szCs w:val="20"/>
          <w:lang w:val="en-US"/>
        </w:rPr>
        <w:t xml:space="preserve"> almost all other generation t</w:t>
      </w:r>
      <w:r w:rsidR="00D53C4F" w:rsidRPr="00D53C4F">
        <w:rPr>
          <w:rFonts w:ascii="Times New Roman" w:hAnsi="Times New Roman" w:cs="Times New Roman"/>
          <w:sz w:val="20"/>
          <w:szCs w:val="20"/>
          <w:lang w:val="en-US"/>
        </w:rPr>
        <w:t>echnologie</w:t>
      </w:r>
      <w:r w:rsidR="00D53C4F">
        <w:rPr>
          <w:rFonts w:ascii="Times New Roman" w:hAnsi="Times New Roman" w:cs="Times New Roman"/>
          <w:sz w:val="20"/>
          <w:szCs w:val="20"/>
          <w:lang w:val="en-US"/>
        </w:rPr>
        <w:t>s</w:t>
      </w:r>
      <w:r w:rsidR="00D53C4F">
        <w:rPr>
          <w:rFonts w:ascii="Times New Roman" w:hAnsi="Times New Roman" w:cs="Times New Roman"/>
          <w:sz w:val="20"/>
          <w:szCs w:val="20"/>
          <w:lang w:val="en-US"/>
        </w:rPr>
        <w:t xml:space="preserve"> do not either.</w:t>
      </w:r>
    </w:p>
    <w:p w:rsidR="00752035" w:rsidRPr="00752035" w:rsidRDefault="00752035" w:rsidP="00752035">
      <w:pPr>
        <w:spacing w:after="0" w:line="240" w:lineRule="auto"/>
        <w:jc w:val="both"/>
        <w:rPr>
          <w:rFonts w:ascii="Times New Roman" w:hAnsi="Times New Roman" w:cs="Times New Roman"/>
          <w:sz w:val="20"/>
          <w:szCs w:val="20"/>
          <w:lang w:val="en-US"/>
        </w:rPr>
      </w:pPr>
      <w:r w:rsidRPr="00752035">
        <w:rPr>
          <w:rFonts w:ascii="Times New Roman" w:hAnsi="Times New Roman" w:cs="Times New Roman"/>
          <w:sz w:val="20"/>
          <w:szCs w:val="20"/>
          <w:lang w:val="en-US"/>
        </w:rPr>
        <w:t>The core objective of this paper is to provide insights on the conditions t</w:t>
      </w:r>
      <w:r w:rsidR="00EF0B2B">
        <w:rPr>
          <w:rFonts w:ascii="Times New Roman" w:hAnsi="Times New Roman" w:cs="Times New Roman"/>
          <w:sz w:val="20"/>
          <w:szCs w:val="20"/>
          <w:lang w:val="en-US"/>
        </w:rPr>
        <w:t xml:space="preserve">o integrate </w:t>
      </w:r>
      <w:proofErr w:type="gramStart"/>
      <w:r w:rsidR="00D53C4F">
        <w:rPr>
          <w:rFonts w:ascii="Times New Roman" w:hAnsi="Times New Roman" w:cs="Times New Roman"/>
          <w:sz w:val="20"/>
          <w:szCs w:val="20"/>
          <w:lang w:val="en-US"/>
        </w:rPr>
        <w:t xml:space="preserve">this </w:t>
      </w:r>
      <w:r w:rsidRPr="00752035">
        <w:rPr>
          <w:rFonts w:ascii="Times New Roman" w:hAnsi="Times New Roman" w:cs="Times New Roman"/>
          <w:sz w:val="20"/>
          <w:szCs w:val="20"/>
          <w:lang w:val="en-US"/>
        </w:rPr>
        <w:t xml:space="preserve">higher </w:t>
      </w:r>
      <w:r w:rsidR="00EF0B2B">
        <w:rPr>
          <w:rFonts w:ascii="Times New Roman" w:hAnsi="Times New Roman" w:cs="Times New Roman"/>
          <w:sz w:val="20"/>
          <w:szCs w:val="20"/>
          <w:lang w:val="en-US"/>
        </w:rPr>
        <w:t>quantiti</w:t>
      </w:r>
      <w:r w:rsidRPr="00752035">
        <w:rPr>
          <w:rFonts w:ascii="Times New Roman" w:hAnsi="Times New Roman" w:cs="Times New Roman"/>
          <w:sz w:val="20"/>
          <w:szCs w:val="20"/>
          <w:lang w:val="en-US"/>
        </w:rPr>
        <w:t>es</w:t>
      </w:r>
      <w:proofErr w:type="gramEnd"/>
      <w:r w:rsidRPr="00752035">
        <w:rPr>
          <w:rFonts w:ascii="Times New Roman" w:hAnsi="Times New Roman" w:cs="Times New Roman"/>
          <w:sz w:val="20"/>
          <w:szCs w:val="20"/>
          <w:lang w:val="en-US"/>
        </w:rPr>
        <w:t xml:space="preserve"> of RES</w:t>
      </w:r>
      <w:r w:rsidR="00EF0B2B">
        <w:rPr>
          <w:rFonts w:ascii="Times New Roman" w:hAnsi="Times New Roman" w:cs="Times New Roman"/>
          <w:sz w:val="20"/>
          <w:szCs w:val="20"/>
          <w:lang w:val="en-US"/>
        </w:rPr>
        <w:t xml:space="preserve">-E into the </w:t>
      </w:r>
      <w:r w:rsidR="00EF0B2B" w:rsidRPr="00A232E8">
        <w:rPr>
          <w:rFonts w:ascii="Times New Roman" w:hAnsi="Times New Roman" w:cs="Times New Roman"/>
          <w:sz w:val="20"/>
          <w:szCs w:val="20"/>
          <w:lang w:val="en-US"/>
        </w:rPr>
        <w:t>electricity</w:t>
      </w:r>
      <w:r w:rsidR="00EF0B2B">
        <w:rPr>
          <w:rFonts w:ascii="Times New Roman" w:hAnsi="Times New Roman" w:cs="Times New Roman"/>
          <w:sz w:val="20"/>
          <w:szCs w:val="20"/>
          <w:lang w:val="en-US"/>
        </w:rPr>
        <w:t xml:space="preserve"> system</w:t>
      </w:r>
      <w:r w:rsidR="00D53C4F">
        <w:rPr>
          <w:rFonts w:ascii="Times New Roman" w:hAnsi="Times New Roman" w:cs="Times New Roman"/>
          <w:sz w:val="20"/>
          <w:szCs w:val="20"/>
          <w:lang w:val="en-US"/>
        </w:rPr>
        <w:t xml:space="preserve"> and how straightforward a sustainable </w:t>
      </w:r>
      <w:r w:rsidR="00D53C4F" w:rsidRPr="00A232E8">
        <w:rPr>
          <w:rFonts w:ascii="Times New Roman" w:hAnsi="Times New Roman" w:cs="Times New Roman"/>
          <w:sz w:val="20"/>
          <w:szCs w:val="20"/>
          <w:lang w:val="en-US"/>
        </w:rPr>
        <w:t>electricity</w:t>
      </w:r>
      <w:r w:rsidR="00D53C4F">
        <w:rPr>
          <w:rFonts w:ascii="Times New Roman" w:hAnsi="Times New Roman" w:cs="Times New Roman"/>
          <w:sz w:val="20"/>
          <w:szCs w:val="20"/>
          <w:lang w:val="en-US"/>
        </w:rPr>
        <w:t xml:space="preserve"> </w:t>
      </w:r>
      <w:proofErr w:type="spellStart"/>
      <w:r w:rsidR="00D53C4F">
        <w:rPr>
          <w:rFonts w:ascii="Times New Roman" w:hAnsi="Times New Roman" w:cs="Times New Roman"/>
          <w:sz w:val="20"/>
          <w:szCs w:val="20"/>
          <w:lang w:val="en-US"/>
        </w:rPr>
        <w:t>system</w:t>
      </w:r>
      <w:r w:rsidR="00D53C4F">
        <w:rPr>
          <w:rFonts w:ascii="Times New Roman" w:hAnsi="Times New Roman" w:cs="Times New Roman"/>
          <w:sz w:val="20"/>
          <w:szCs w:val="20"/>
          <w:lang w:val="en-US"/>
        </w:rPr>
        <w:t>could</w:t>
      </w:r>
      <w:proofErr w:type="spellEnd"/>
      <w:r w:rsidR="00D53C4F">
        <w:rPr>
          <w:rFonts w:ascii="Times New Roman" w:hAnsi="Times New Roman" w:cs="Times New Roman"/>
          <w:sz w:val="20"/>
          <w:szCs w:val="20"/>
          <w:lang w:val="en-US"/>
        </w:rPr>
        <w:t xml:space="preserve"> work</w:t>
      </w:r>
      <w:r w:rsidRPr="00752035">
        <w:rPr>
          <w:rFonts w:ascii="Times New Roman" w:hAnsi="Times New Roman" w:cs="Times New Roman"/>
          <w:sz w:val="20"/>
          <w:szCs w:val="20"/>
          <w:lang w:val="en-US"/>
        </w:rPr>
        <w:t>.</w:t>
      </w:r>
      <w:r w:rsidR="00D53C4F">
        <w:rPr>
          <w:rFonts w:ascii="Times New Roman" w:hAnsi="Times New Roman" w:cs="Times New Roman"/>
          <w:sz w:val="20"/>
          <w:szCs w:val="20"/>
          <w:lang w:val="en-US"/>
        </w:rPr>
        <w:t xml:space="preserve"> Our analysis is mainly based on Western European countries using data from Germy and </w:t>
      </w:r>
      <w:proofErr w:type="spellStart"/>
      <w:r w:rsidR="00D53C4F">
        <w:rPr>
          <w:rFonts w:ascii="Times New Roman" w:hAnsi="Times New Roman" w:cs="Times New Roman"/>
          <w:sz w:val="20"/>
          <w:szCs w:val="20"/>
          <w:lang w:val="en-US"/>
        </w:rPr>
        <w:t>Austrai</w:t>
      </w:r>
      <w:proofErr w:type="spellEnd"/>
      <w:r w:rsidR="00D53C4F">
        <w:rPr>
          <w:rFonts w:ascii="Times New Roman" w:hAnsi="Times New Roman" w:cs="Times New Roman"/>
          <w:sz w:val="20"/>
          <w:szCs w:val="20"/>
          <w:lang w:val="en-US"/>
        </w:rPr>
        <w:t xml:space="preserve"> but in principle the findings of this analysis cam also be transformed to every other country.</w:t>
      </w:r>
      <w:r w:rsidRPr="00752035">
        <w:rPr>
          <w:rFonts w:ascii="Times New Roman" w:hAnsi="Times New Roman" w:cs="Times New Roman"/>
          <w:sz w:val="20"/>
          <w:szCs w:val="20"/>
          <w:lang w:val="en-US"/>
        </w:rPr>
        <w:t xml:space="preserve"> </w:t>
      </w:r>
    </w:p>
    <w:p w:rsidR="00C62129" w:rsidRPr="00C63E59" w:rsidRDefault="00C62129" w:rsidP="00C63E59">
      <w:pPr>
        <w:spacing w:before="120" w:after="60"/>
        <w:rPr>
          <w:rFonts w:ascii="Arial" w:eastAsia="Times New Roman" w:hAnsi="Arial" w:cs="Arial"/>
          <w:b/>
          <w:spacing w:val="-3"/>
          <w:sz w:val="24"/>
          <w:szCs w:val="24"/>
          <w:lang w:val="en-US"/>
        </w:rPr>
      </w:pPr>
      <w:r w:rsidRPr="00C63E59">
        <w:rPr>
          <w:rFonts w:ascii="Arial" w:eastAsia="Times New Roman" w:hAnsi="Arial" w:cs="Arial"/>
          <w:b/>
          <w:spacing w:val="-3"/>
          <w:sz w:val="24"/>
          <w:szCs w:val="24"/>
          <w:lang w:val="en-US"/>
        </w:rPr>
        <w:t>Method</w:t>
      </w:r>
    </w:p>
    <w:p w:rsidR="00400AB7" w:rsidRDefault="00400AB7" w:rsidP="004732B9">
      <w:pPr>
        <w:pStyle w:val="AbstractText"/>
        <w:spacing w:before="0"/>
        <w:rPr>
          <w:lang w:val="en-US"/>
        </w:rPr>
      </w:pPr>
      <w:r>
        <w:rPr>
          <w:lang w:val="en-US"/>
        </w:rPr>
        <w:t>Our method of approach is based on the following cornerstones:</w:t>
      </w:r>
    </w:p>
    <w:p w:rsidR="00EF0B2B" w:rsidRDefault="00EF0B2B" w:rsidP="004732B9">
      <w:pPr>
        <w:pStyle w:val="AbstractText"/>
        <w:spacing w:before="0"/>
        <w:rPr>
          <w:lang w:val="en-US"/>
        </w:rPr>
      </w:pPr>
      <w:r>
        <w:rPr>
          <w:lang w:val="en-US"/>
        </w:rPr>
        <w:t>O</w:t>
      </w:r>
      <w:r w:rsidR="004732B9" w:rsidRPr="004732B9">
        <w:rPr>
          <w:lang w:val="en-US"/>
        </w:rPr>
        <w:t xml:space="preserve">n an hourly base over a year for load profiles, RES-E generation and flexibility measures </w:t>
      </w:r>
      <w:r>
        <w:rPr>
          <w:lang w:val="en-US"/>
        </w:rPr>
        <w:t>are modeled identifying residual load (</w:t>
      </w:r>
      <w:r w:rsidR="00400AB7" w:rsidRPr="00E724CF">
        <w:rPr>
          <w:lang w:val="en-US"/>
        </w:rPr>
        <w:t>residual load (= difference between final electricity demand and generation provided by non-flexible electricity generation from variable RES as well as coal and nuclear power plants</w:t>
      </w:r>
      <w:r>
        <w:rPr>
          <w:lang w:val="en-US"/>
        </w:rPr>
        <w:t xml:space="preserve">) in every hour. Based on this </w:t>
      </w:r>
      <w:r w:rsidRPr="00EF0B2B">
        <w:rPr>
          <w:lang w:val="en-US"/>
        </w:rPr>
        <w:t xml:space="preserve">residual load </w:t>
      </w:r>
      <w:r>
        <w:rPr>
          <w:lang w:val="en-US"/>
        </w:rPr>
        <w:t>o</w:t>
      </w:r>
      <w:r w:rsidRPr="00430D5A">
        <w:rPr>
          <w:lang w:val="en-US"/>
        </w:rPr>
        <w:t>n the electricity market side we use a fundamental approach where the intersection of supply and demand at every point-of-time gives the corresponding electricity market price</w:t>
      </w:r>
      <w:r>
        <w:rPr>
          <w:lang w:val="en-US"/>
        </w:rPr>
        <w:t xml:space="preserve"> including </w:t>
      </w:r>
      <w:r w:rsidRPr="004732B9">
        <w:rPr>
          <w:lang w:val="en-US"/>
        </w:rPr>
        <w:t xml:space="preserve">scarcity </w:t>
      </w:r>
      <w:r w:rsidRPr="004732B9">
        <w:rPr>
          <w:spacing w:val="-3"/>
          <w:lang w:val="en-US"/>
        </w:rPr>
        <w:t>respectively</w:t>
      </w:r>
      <w:r w:rsidRPr="004732B9">
        <w:rPr>
          <w:lang w:val="en-US"/>
        </w:rPr>
        <w:t xml:space="preserve"> excess pricing in the extreme situations.</w:t>
      </w:r>
      <w:r>
        <w:rPr>
          <w:lang w:val="en-US"/>
        </w:rPr>
        <w:t xml:space="preserve">   </w:t>
      </w:r>
    </w:p>
    <w:p w:rsidR="00D53C4F" w:rsidRPr="00D53C4F" w:rsidRDefault="00D53C4F" w:rsidP="00D53C4F">
      <w:pPr>
        <w:rPr>
          <w:lang w:val="en-US"/>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6095"/>
      </w:tblGrid>
      <w:tr w:rsidR="00430D5A" w:rsidRPr="00FF5B67" w:rsidTr="00D5489B">
        <w:trPr>
          <w:trHeight w:val="3967"/>
        </w:trPr>
        <w:tc>
          <w:tcPr>
            <w:tcW w:w="4928" w:type="dxa"/>
            <w:shd w:val="clear" w:color="auto" w:fill="auto"/>
          </w:tcPr>
          <w:p w:rsidR="00430D5A" w:rsidRPr="00752035" w:rsidRDefault="00752035" w:rsidP="0062316B">
            <w:pPr>
              <w:tabs>
                <w:tab w:val="left" w:pos="-1134"/>
                <w:tab w:val="left" w:pos="-414"/>
              </w:tabs>
              <w:suppressAutoHyphens/>
              <w:rPr>
                <w:spacing w:val="-3"/>
                <w:lang w:val="en-US"/>
              </w:rPr>
            </w:pPr>
            <w:r>
              <w:rPr>
                <w:rFonts w:ascii="Times New Roman" w:hAnsi="Times New Roman" w:cs="Times New Roman"/>
                <w:noProof/>
                <w:sz w:val="20"/>
                <w:szCs w:val="20"/>
                <w:lang w:eastAsia="de-AT"/>
              </w:rPr>
              <w:drawing>
                <wp:inline distT="0" distB="0" distL="0" distR="0" wp14:anchorId="0F56410E" wp14:editId="7B0A6151">
                  <wp:extent cx="3045350" cy="2424605"/>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4494" cy="2431885"/>
                          </a:xfrm>
                          <a:prstGeom prst="rect">
                            <a:avLst/>
                          </a:prstGeom>
                          <a:noFill/>
                        </pic:spPr>
                      </pic:pic>
                    </a:graphicData>
                  </a:graphic>
                </wp:inline>
              </w:drawing>
            </w:r>
          </w:p>
        </w:tc>
        <w:tc>
          <w:tcPr>
            <w:tcW w:w="6095" w:type="dxa"/>
            <w:shd w:val="clear" w:color="auto" w:fill="auto"/>
          </w:tcPr>
          <w:p w:rsidR="00430D5A" w:rsidRPr="00FF5B67" w:rsidRDefault="00366A91" w:rsidP="0062316B">
            <w:pPr>
              <w:tabs>
                <w:tab w:val="left" w:pos="-1134"/>
                <w:tab w:val="left" w:pos="-414"/>
              </w:tabs>
              <w:suppressAutoHyphens/>
              <w:rPr>
                <w:spacing w:val="-3"/>
              </w:rPr>
            </w:pPr>
            <w:r>
              <w:rPr>
                <w:noProof/>
                <w:lang w:eastAsia="de-AT"/>
              </w:rPr>
              <w:drawing>
                <wp:inline distT="0" distB="0" distL="0" distR="0" wp14:anchorId="58445936" wp14:editId="511F3EF6">
                  <wp:extent cx="3833897" cy="2289976"/>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2499" cy="2289141"/>
                          </a:xfrm>
                          <a:prstGeom prst="rect">
                            <a:avLst/>
                          </a:prstGeom>
                          <a:noFill/>
                        </pic:spPr>
                      </pic:pic>
                    </a:graphicData>
                  </a:graphic>
                </wp:inline>
              </w:drawing>
            </w:r>
          </w:p>
        </w:tc>
      </w:tr>
      <w:tr w:rsidR="00430D5A" w:rsidRPr="00366A91" w:rsidTr="00D5489B">
        <w:trPr>
          <w:trHeight w:val="639"/>
        </w:trPr>
        <w:tc>
          <w:tcPr>
            <w:tcW w:w="4928" w:type="dxa"/>
            <w:shd w:val="clear" w:color="auto" w:fill="auto"/>
          </w:tcPr>
          <w:p w:rsidR="00430D5A" w:rsidRPr="00F25AA2" w:rsidRDefault="00430D5A" w:rsidP="00752035">
            <w:pPr>
              <w:tabs>
                <w:tab w:val="left" w:pos="-1134"/>
                <w:tab w:val="left" w:pos="-414"/>
              </w:tabs>
              <w:suppressAutoHyphens/>
              <w:spacing w:before="60" w:after="60"/>
              <w:rPr>
                <w:rFonts w:ascii="Times New Roman" w:hAnsi="Times New Roman" w:cs="Times New Roman"/>
                <w:sz w:val="20"/>
                <w:szCs w:val="20"/>
                <w:lang w:val="en-US"/>
              </w:rPr>
            </w:pPr>
            <w:r w:rsidRPr="00F25AA2">
              <w:rPr>
                <w:rFonts w:ascii="Times New Roman" w:hAnsi="Times New Roman" w:cs="Times New Roman"/>
                <w:b/>
                <w:bCs/>
                <w:sz w:val="20"/>
                <w:szCs w:val="20"/>
                <w:lang w:val="en-US"/>
              </w:rPr>
              <w:t xml:space="preserve">Figure 1. </w:t>
            </w:r>
            <w:r w:rsidR="00752035" w:rsidRPr="00752035">
              <w:rPr>
                <w:rFonts w:ascii="Times New Roman" w:hAnsi="Times New Roman" w:cs="Times New Roman"/>
                <w:bCs/>
                <w:sz w:val="20"/>
                <w:szCs w:val="20"/>
                <w:lang w:val="en-US"/>
              </w:rPr>
              <w:t xml:space="preserve">Past development and future scenarios for electricity from </w:t>
            </w:r>
            <w:r w:rsidRPr="00F25AA2">
              <w:rPr>
                <w:rFonts w:ascii="Times New Roman" w:hAnsi="Times New Roman" w:cs="Times New Roman"/>
                <w:bCs/>
                <w:sz w:val="20"/>
                <w:szCs w:val="20"/>
                <w:lang w:val="en-US"/>
              </w:rPr>
              <w:t xml:space="preserve">RES-E  </w:t>
            </w:r>
          </w:p>
        </w:tc>
        <w:tc>
          <w:tcPr>
            <w:tcW w:w="6095" w:type="dxa"/>
            <w:shd w:val="clear" w:color="auto" w:fill="auto"/>
          </w:tcPr>
          <w:p w:rsidR="00430D5A" w:rsidRPr="00366A91" w:rsidRDefault="00366A91" w:rsidP="00EF0B2B">
            <w:pPr>
              <w:tabs>
                <w:tab w:val="left" w:pos="-1134"/>
                <w:tab w:val="left" w:pos="-414"/>
              </w:tabs>
              <w:suppressAutoHyphens/>
              <w:spacing w:before="60" w:after="60"/>
              <w:rPr>
                <w:rFonts w:ascii="Times New Roman" w:hAnsi="Times New Roman" w:cs="Times New Roman"/>
                <w:sz w:val="20"/>
                <w:szCs w:val="20"/>
                <w:lang w:val="en-US"/>
              </w:rPr>
            </w:pPr>
            <w:r w:rsidRPr="00366A91">
              <w:rPr>
                <w:rFonts w:ascii="Times New Roman" w:hAnsi="Times New Roman" w:cs="Times New Roman"/>
                <w:b/>
                <w:spacing w:val="-3"/>
                <w:sz w:val="20"/>
                <w:szCs w:val="20"/>
                <w:lang w:val="en-US"/>
              </w:rPr>
              <w:t>Figure 2.</w:t>
            </w:r>
            <w:r w:rsidRPr="00366A91">
              <w:rPr>
                <w:rFonts w:ascii="Times New Roman" w:hAnsi="Times New Roman" w:cs="Times New Roman"/>
                <w:spacing w:val="-3"/>
                <w:sz w:val="20"/>
                <w:szCs w:val="20"/>
                <w:lang w:val="en-US"/>
              </w:rPr>
              <w:t xml:space="preserve"> </w:t>
            </w:r>
            <w:r w:rsidRPr="00366A91">
              <w:rPr>
                <w:rFonts w:ascii="Times New Roman" w:hAnsi="Times New Roman" w:cs="Times New Roman"/>
                <w:sz w:val="20"/>
                <w:szCs w:val="20"/>
                <w:lang w:val="en-US"/>
              </w:rPr>
              <w:t>A market-based approach to  supply security</w:t>
            </w:r>
          </w:p>
        </w:tc>
      </w:tr>
    </w:tbl>
    <w:p w:rsidR="00D53C4F" w:rsidRDefault="00D53C4F" w:rsidP="004732B9">
      <w:pPr>
        <w:spacing w:before="120" w:after="60"/>
        <w:rPr>
          <w:rFonts w:ascii="Arial" w:eastAsia="Times New Roman" w:hAnsi="Arial" w:cs="Arial"/>
          <w:b/>
          <w:spacing w:val="-3"/>
          <w:sz w:val="24"/>
          <w:szCs w:val="24"/>
          <w:lang w:val="en-US"/>
        </w:rPr>
      </w:pPr>
    </w:p>
    <w:p w:rsidR="004732B9" w:rsidRPr="00C63E59" w:rsidRDefault="004732B9" w:rsidP="004732B9">
      <w:pPr>
        <w:spacing w:before="120" w:after="60"/>
        <w:rPr>
          <w:rFonts w:ascii="Arial" w:eastAsia="Times New Roman" w:hAnsi="Arial" w:cs="Arial"/>
          <w:b/>
          <w:spacing w:val="-3"/>
          <w:sz w:val="24"/>
          <w:szCs w:val="24"/>
          <w:lang w:val="en-US"/>
        </w:rPr>
      </w:pPr>
      <w:r>
        <w:rPr>
          <w:rFonts w:ascii="Arial" w:eastAsia="Times New Roman" w:hAnsi="Arial" w:cs="Arial"/>
          <w:b/>
          <w:spacing w:val="-3"/>
          <w:sz w:val="24"/>
          <w:szCs w:val="24"/>
          <w:lang w:val="en-US"/>
        </w:rPr>
        <w:t>Results</w:t>
      </w:r>
    </w:p>
    <w:p w:rsidR="00D5489B" w:rsidRPr="00D5489B" w:rsidRDefault="00D5489B" w:rsidP="0062316B">
      <w:pPr>
        <w:pStyle w:val="AbstractText"/>
        <w:spacing w:before="0"/>
        <w:rPr>
          <w:lang w:val="en-US"/>
        </w:rPr>
      </w:pPr>
      <w:r>
        <w:rPr>
          <w:lang w:val="en-US"/>
        </w:rPr>
        <w:t xml:space="preserve">A key pre-condition for integrating larger shares of RES-E is </w:t>
      </w:r>
      <w:r w:rsidRPr="00D5489B">
        <w:rPr>
          <w:lang w:val="en-US"/>
        </w:rPr>
        <w:t>a market-based approach</w:t>
      </w:r>
      <w:r w:rsidRPr="00D5489B">
        <w:rPr>
          <w:lang w:val="en-US"/>
        </w:rPr>
        <w:t xml:space="preserve"> </w:t>
      </w:r>
      <w:r w:rsidRPr="00D5489B">
        <w:rPr>
          <w:lang w:val="en-US"/>
        </w:rPr>
        <w:t>w</w:t>
      </w:r>
      <w:r>
        <w:rPr>
          <w:lang w:val="en-US"/>
        </w:rPr>
        <w:t>hich w</w:t>
      </w:r>
      <w:r w:rsidRPr="00D5489B">
        <w:rPr>
          <w:lang w:val="en-US"/>
        </w:rPr>
        <w:t xml:space="preserve">ould take into account customers WTP </w:t>
      </w:r>
      <w:proofErr w:type="gramStart"/>
      <w:r w:rsidRPr="00D5489B">
        <w:rPr>
          <w:lang w:val="en-US"/>
        </w:rPr>
        <w:t>and</w:t>
      </w:r>
      <w:r>
        <w:rPr>
          <w:lang w:val="en-US"/>
        </w:rPr>
        <w:t xml:space="preserve">  where</w:t>
      </w:r>
      <w:proofErr w:type="gramEnd"/>
      <w:r>
        <w:rPr>
          <w:lang w:val="en-US"/>
        </w:rPr>
        <w:t xml:space="preserve"> on the demand-side </w:t>
      </w:r>
      <w:r w:rsidRPr="00D5489B">
        <w:rPr>
          <w:lang w:val="en-US"/>
        </w:rPr>
        <w:t xml:space="preserve"> the equilibrium between demand and supply would come about at lower capacities</w:t>
      </w:r>
      <w:r>
        <w:rPr>
          <w:lang w:val="en-US"/>
        </w:rPr>
        <w:t>, see Fig. 2</w:t>
      </w:r>
      <w:r w:rsidRPr="00D5489B">
        <w:rPr>
          <w:lang w:val="en-US"/>
        </w:rPr>
        <w:t xml:space="preserve">. Note, that where WTP is lowest the MC of providing capacity </w:t>
      </w:r>
      <w:proofErr w:type="gramStart"/>
      <w:r w:rsidRPr="00D5489B">
        <w:rPr>
          <w:lang w:val="en-US"/>
        </w:rPr>
        <w:t>are</w:t>
      </w:r>
      <w:proofErr w:type="gramEnd"/>
      <w:r w:rsidRPr="00D5489B">
        <w:rPr>
          <w:lang w:val="en-US"/>
        </w:rPr>
        <w:t xml:space="preserve"> highest. A market approach will consider also other options on </w:t>
      </w:r>
      <w:r w:rsidRPr="00D5489B">
        <w:rPr>
          <w:lang w:val="en-US"/>
        </w:rPr>
        <w:lastRenderedPageBreak/>
        <w:t>the supply- and demand-side as there are</w:t>
      </w:r>
      <w:proofErr w:type="gramStart"/>
      <w:r>
        <w:rPr>
          <w:lang w:val="en-US"/>
        </w:rPr>
        <w:t>:</w:t>
      </w:r>
      <w:r w:rsidRPr="00D5489B">
        <w:rPr>
          <w:lang w:val="en-US"/>
        </w:rPr>
        <w:t>:</w:t>
      </w:r>
      <w:proofErr w:type="gramEnd"/>
    </w:p>
    <w:p w:rsidR="00D5489B" w:rsidRPr="00D5489B" w:rsidRDefault="00D5489B" w:rsidP="00D5489B">
      <w:pPr>
        <w:pStyle w:val="Listenabsatz"/>
        <w:widowControl w:val="0"/>
        <w:numPr>
          <w:ilvl w:val="0"/>
          <w:numId w:val="2"/>
        </w:numPr>
        <w:autoSpaceDE w:val="0"/>
        <w:autoSpaceDN w:val="0"/>
        <w:adjustRightInd w:val="0"/>
        <w:spacing w:after="0"/>
        <w:ind w:left="357" w:hanging="357"/>
        <w:rPr>
          <w:sz w:val="20"/>
          <w:lang w:val="en-US"/>
        </w:rPr>
      </w:pPr>
      <w:r w:rsidRPr="00D5489B">
        <w:rPr>
          <w:sz w:val="20"/>
          <w:u w:val="single"/>
          <w:lang w:val="en-US"/>
        </w:rPr>
        <w:t>DSM (technical):</w:t>
      </w:r>
      <w:r w:rsidRPr="00D5489B">
        <w:rPr>
          <w:bCs/>
          <w:sz w:val="20"/>
          <w:lang w:val="en-US"/>
        </w:rPr>
        <w:t xml:space="preserve"> Measures conducted by utilities like  cycling, control of demand, e.g. of cooling systems) </w:t>
      </w:r>
    </w:p>
    <w:p w:rsidR="00D5489B" w:rsidRPr="00D5489B" w:rsidRDefault="00D5489B" w:rsidP="00D5489B">
      <w:pPr>
        <w:pStyle w:val="Listenabsatz"/>
        <w:widowControl w:val="0"/>
        <w:numPr>
          <w:ilvl w:val="0"/>
          <w:numId w:val="2"/>
        </w:numPr>
        <w:autoSpaceDE w:val="0"/>
        <w:autoSpaceDN w:val="0"/>
        <w:adjustRightInd w:val="0"/>
        <w:spacing w:after="0"/>
        <w:ind w:left="357" w:hanging="357"/>
        <w:rPr>
          <w:sz w:val="20"/>
          <w:lang w:val="en-US"/>
        </w:rPr>
      </w:pPr>
      <w:r w:rsidRPr="00D5489B">
        <w:rPr>
          <w:sz w:val="20"/>
          <w:u w:val="single"/>
          <w:lang w:val="en-US"/>
        </w:rPr>
        <w:t>Demand response due to price signals:</w:t>
      </w:r>
      <w:r w:rsidRPr="00D5489B">
        <w:rPr>
          <w:bCs/>
          <w:sz w:val="20"/>
          <w:lang w:val="en-US"/>
        </w:rPr>
        <w:t xml:space="preserve"> Response of mainly large customers to price  changes </w:t>
      </w:r>
    </w:p>
    <w:p w:rsidR="00D5489B" w:rsidRPr="00D5489B" w:rsidRDefault="00D5489B" w:rsidP="00D5489B">
      <w:pPr>
        <w:pStyle w:val="Listenabsatz"/>
        <w:widowControl w:val="0"/>
        <w:numPr>
          <w:ilvl w:val="0"/>
          <w:numId w:val="2"/>
        </w:numPr>
        <w:autoSpaceDE w:val="0"/>
        <w:autoSpaceDN w:val="0"/>
        <w:adjustRightInd w:val="0"/>
        <w:spacing w:after="0"/>
        <w:ind w:left="357" w:hanging="357"/>
        <w:rPr>
          <w:sz w:val="20"/>
          <w:lang w:val="en-US"/>
        </w:rPr>
      </w:pPr>
      <w:r w:rsidRPr="00D5489B">
        <w:rPr>
          <w:sz w:val="20"/>
          <w:u w:val="single"/>
          <w:lang w:val="en-US"/>
        </w:rPr>
        <w:t xml:space="preserve">Transmission grid </w:t>
      </w:r>
      <w:proofErr w:type="spellStart"/>
      <w:r w:rsidRPr="00D5489B">
        <w:rPr>
          <w:sz w:val="20"/>
          <w:u w:val="single"/>
          <w:lang w:val="en-US"/>
        </w:rPr>
        <w:t>extention</w:t>
      </w:r>
      <w:proofErr w:type="spellEnd"/>
      <w:r w:rsidRPr="00D5489B">
        <w:rPr>
          <w:sz w:val="20"/>
          <w:u w:val="single"/>
          <w:lang w:val="en-US"/>
        </w:rPr>
        <w:t xml:space="preserve">: </w:t>
      </w:r>
      <w:r w:rsidRPr="00D5489B">
        <w:rPr>
          <w:bCs/>
          <w:sz w:val="20"/>
          <w:lang w:val="en-US"/>
        </w:rPr>
        <w:t>if the grid is extended there is in principle always more capacity available in the system and the volatility of RES a well as demand evens out;</w:t>
      </w:r>
    </w:p>
    <w:p w:rsidR="00D5489B" w:rsidRPr="00D5489B" w:rsidRDefault="00D5489B" w:rsidP="00D5489B">
      <w:pPr>
        <w:pStyle w:val="Listenabsatz"/>
        <w:widowControl w:val="0"/>
        <w:numPr>
          <w:ilvl w:val="0"/>
          <w:numId w:val="2"/>
        </w:numPr>
        <w:autoSpaceDE w:val="0"/>
        <w:autoSpaceDN w:val="0"/>
        <w:adjustRightInd w:val="0"/>
        <w:spacing w:after="0"/>
        <w:ind w:left="357" w:hanging="357"/>
        <w:rPr>
          <w:sz w:val="20"/>
          <w:lang w:val="en-US"/>
        </w:rPr>
      </w:pPr>
      <w:r w:rsidRPr="00D5489B">
        <w:rPr>
          <w:sz w:val="20"/>
          <w:u w:val="single"/>
          <w:lang w:val="en-US"/>
        </w:rPr>
        <w:t>Smart grids:</w:t>
      </w:r>
      <w:r w:rsidRPr="00D5489B">
        <w:rPr>
          <w:sz w:val="20"/>
          <w:lang w:val="en-US"/>
        </w:rPr>
        <w:t xml:space="preserve"> They allow variations in frequency (upwards and downwards regulation)  and switch of voltage levels and contribute in this context to a load balancing</w:t>
      </w:r>
    </w:p>
    <w:p w:rsidR="00D5489B" w:rsidRPr="00D5489B" w:rsidRDefault="00D5489B" w:rsidP="00D5489B">
      <w:pPr>
        <w:pStyle w:val="Listenabsatz"/>
        <w:widowControl w:val="0"/>
        <w:numPr>
          <w:ilvl w:val="0"/>
          <w:numId w:val="2"/>
        </w:numPr>
        <w:autoSpaceDE w:val="0"/>
        <w:autoSpaceDN w:val="0"/>
        <w:adjustRightInd w:val="0"/>
        <w:spacing w:after="0"/>
        <w:ind w:left="357" w:hanging="357"/>
        <w:rPr>
          <w:sz w:val="20"/>
          <w:lang w:val="en-US"/>
        </w:rPr>
      </w:pPr>
      <w:r w:rsidRPr="00D5489B">
        <w:rPr>
          <w:sz w:val="20"/>
          <w:u w:val="single"/>
          <w:lang w:val="en-US"/>
        </w:rPr>
        <w:t>Storages:</w:t>
      </w:r>
      <w:r w:rsidRPr="00D5489B">
        <w:rPr>
          <w:sz w:val="20"/>
          <w:lang w:val="en-US"/>
        </w:rPr>
        <w:t xml:space="preserve">  short-term and long-term storages – batteries, hydro storages, or chemical storages like hydrogen or methane – can help to balance </w:t>
      </w:r>
      <w:r w:rsidRPr="00D5489B">
        <w:rPr>
          <w:sz w:val="20"/>
          <w:lang w:val="en-GB"/>
        </w:rPr>
        <w:t>significant</w:t>
      </w:r>
      <w:r w:rsidRPr="00D5489B">
        <w:rPr>
          <w:sz w:val="20"/>
          <w:lang w:val="en-US"/>
        </w:rPr>
        <w:t xml:space="preserve"> volatilities of RES generation. </w:t>
      </w:r>
    </w:p>
    <w:p w:rsidR="00D5489B" w:rsidRDefault="00D5489B" w:rsidP="00400AB7">
      <w:pPr>
        <w:spacing w:after="0" w:line="240" w:lineRule="auto"/>
        <w:jc w:val="both"/>
        <w:rPr>
          <w:rFonts w:ascii="Times New Roman" w:hAnsi="Times New Roman" w:cs="Times New Roman"/>
          <w:sz w:val="20"/>
          <w:szCs w:val="20"/>
          <w:lang w:val="en-US"/>
        </w:rPr>
      </w:pPr>
    </w:p>
    <w:p w:rsidR="00D5489B" w:rsidRDefault="00D5489B" w:rsidP="00400AB7">
      <w:pPr>
        <w:spacing w:after="0" w:line="240" w:lineRule="auto"/>
        <w:jc w:val="both"/>
        <w:rPr>
          <w:rFonts w:ascii="Times New Roman" w:hAnsi="Times New Roman" w:cs="Times New Roman"/>
          <w:sz w:val="20"/>
          <w:szCs w:val="20"/>
          <w:lang w:val="en-US"/>
        </w:rPr>
      </w:pPr>
      <w:r w:rsidRPr="00D5489B">
        <w:rPr>
          <w:rFonts w:ascii="Times New Roman" w:hAnsi="Times New Roman" w:cs="Times New Roman"/>
          <w:sz w:val="20"/>
          <w:szCs w:val="20"/>
          <w:lang w:val="en-US"/>
        </w:rPr>
        <w:t xml:space="preserve">Currently there is no incentive to harvest these flexibility options because of very low price spreads, </w:t>
      </w:r>
      <w:proofErr w:type="gramStart"/>
      <w:r w:rsidRPr="00D5489B">
        <w:rPr>
          <w:rFonts w:ascii="Times New Roman" w:hAnsi="Times New Roman" w:cs="Times New Roman"/>
          <w:sz w:val="20"/>
          <w:szCs w:val="20"/>
          <w:lang w:val="en-US"/>
        </w:rPr>
        <w:t>see  Fig</w:t>
      </w:r>
      <w:proofErr w:type="gramEnd"/>
      <w:r w:rsidRPr="00D5489B">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3. </w:t>
      </w:r>
      <w:r w:rsidRPr="00D5489B">
        <w:rPr>
          <w:rFonts w:ascii="Times New Roman" w:hAnsi="Times New Roman" w:cs="Times New Roman"/>
          <w:sz w:val="20"/>
          <w:szCs w:val="20"/>
          <w:lang w:val="en-US"/>
        </w:rPr>
        <w:t xml:space="preserve">An important aspect in this context is how the price spreads will develop. These price spreads will depend on the development of the duration curve of residual load. In Fig. 4 the development of residual load in Austria 2013 and in a scenario up to 2030 with a much higher share of intermittent renewables is described. The major </w:t>
      </w:r>
      <w:r>
        <w:rPr>
          <w:rFonts w:ascii="Times New Roman" w:hAnsi="Times New Roman" w:cs="Times New Roman"/>
          <w:sz w:val="20"/>
          <w:szCs w:val="20"/>
          <w:lang w:val="en-US"/>
        </w:rPr>
        <w:t>finding</w:t>
      </w:r>
      <w:r w:rsidRPr="00D5489B">
        <w:rPr>
          <w:rFonts w:ascii="Times New Roman" w:hAnsi="Times New Roman" w:cs="Times New Roman"/>
          <w:sz w:val="20"/>
          <w:szCs w:val="20"/>
          <w:lang w:val="en-US"/>
        </w:rPr>
        <w:t xml:space="preserve"> of Fig. </w:t>
      </w:r>
      <w:r>
        <w:rPr>
          <w:rFonts w:ascii="Times New Roman" w:hAnsi="Times New Roman" w:cs="Times New Roman"/>
          <w:sz w:val="20"/>
          <w:szCs w:val="20"/>
          <w:lang w:val="en-US"/>
        </w:rPr>
        <w:t>4</w:t>
      </w:r>
      <w:r w:rsidRPr="00D5489B">
        <w:rPr>
          <w:rFonts w:ascii="Times New Roman" w:hAnsi="Times New Roman" w:cs="Times New Roman"/>
          <w:sz w:val="20"/>
          <w:szCs w:val="20"/>
          <w:lang w:val="en-US"/>
        </w:rPr>
        <w:t xml:space="preserve"> is that the duration curve of the residual load profile will become steeper and that the number of hours with excess generation will become higher. This effect will lead straightforward to higher price spreads and will also increase</w:t>
      </w:r>
      <w:r w:rsidRPr="00D5489B">
        <w:rPr>
          <w:rFonts w:ascii="Times New Roman" w:hAnsi="Times New Roman" w:cs="Times New Roman"/>
          <w:sz w:val="20"/>
          <w:szCs w:val="20"/>
          <w:lang w:val="en-US"/>
        </w:rPr>
        <w:t xml:space="preserve"> the attractiveness of storages and other flexibility options</w:t>
      </w:r>
      <w:r w:rsidRPr="00D5489B">
        <w:rPr>
          <w:rFonts w:ascii="Times New Roman" w:hAnsi="Times New Roman" w:cs="Times New Roman"/>
          <w:sz w:val="20"/>
          <w:szCs w:val="20"/>
          <w:lang w:val="en-US"/>
        </w:rPr>
        <w:t xml:space="preserve">. </w:t>
      </w:r>
    </w:p>
    <w:p w:rsidR="00D53C4F" w:rsidRDefault="00D53C4F" w:rsidP="00400AB7">
      <w:pPr>
        <w:spacing w:after="0" w:line="240" w:lineRule="auto"/>
        <w:jc w:val="both"/>
        <w:rPr>
          <w:rFonts w:ascii="Times New Roman" w:hAnsi="Times New Roman" w:cs="Times New Roman"/>
          <w:sz w:val="20"/>
          <w:szCs w:val="20"/>
          <w:lang w:val="en-US"/>
        </w:rPr>
      </w:pPr>
    </w:p>
    <w:p w:rsidR="003E3401" w:rsidRDefault="003E3401" w:rsidP="00400AB7">
      <w:pPr>
        <w:spacing w:after="0" w:line="240" w:lineRule="auto"/>
        <w:jc w:val="both"/>
        <w:rPr>
          <w:rFonts w:ascii="Times New Roman" w:hAnsi="Times New Roman" w:cs="Times New Roman"/>
          <w:sz w:val="20"/>
          <w:szCs w:val="20"/>
          <w:lang w:val="en-US"/>
        </w:rPr>
      </w:pPr>
    </w:p>
    <w:p w:rsidR="003E3401" w:rsidRPr="00D5489B" w:rsidRDefault="003E3401" w:rsidP="00400AB7">
      <w:pPr>
        <w:spacing w:after="0" w:line="240" w:lineRule="auto"/>
        <w:jc w:val="both"/>
        <w:rPr>
          <w:rFonts w:ascii="Times New Roman" w:hAnsi="Times New Roman" w:cs="Times New Roman"/>
          <w:sz w:val="20"/>
          <w:szCs w:val="20"/>
          <w:lang w:val="en-US"/>
        </w:rPr>
      </w:pPr>
    </w:p>
    <w:tbl>
      <w:tblPr>
        <w:tblStyle w:val="Tabellenraster"/>
        <w:tblW w:w="0" w:type="auto"/>
        <w:tblLook w:val="04A0" w:firstRow="1" w:lastRow="0" w:firstColumn="1" w:lastColumn="0" w:noHBand="0" w:noVBand="1"/>
      </w:tblPr>
      <w:tblGrid>
        <w:gridCol w:w="5411"/>
        <w:gridCol w:w="5401"/>
      </w:tblGrid>
      <w:tr w:rsidR="00752035" w:rsidRPr="00752035" w:rsidTr="00D5489B">
        <w:tc>
          <w:tcPr>
            <w:tcW w:w="5411" w:type="dxa"/>
          </w:tcPr>
          <w:p w:rsidR="00752035" w:rsidRPr="00752035" w:rsidRDefault="003E3401" w:rsidP="00C63E59">
            <w:pPr>
              <w:spacing w:before="120" w:after="60"/>
              <w:rPr>
                <w:rFonts w:ascii="Times New Roman" w:eastAsia="Times New Roman" w:hAnsi="Times New Roman" w:cs="Times New Roman"/>
                <w:b/>
                <w:spacing w:val="-3"/>
                <w:sz w:val="24"/>
                <w:szCs w:val="24"/>
                <w:lang w:val="en-US"/>
              </w:rPr>
            </w:pPr>
            <w:r>
              <w:rPr>
                <w:rFonts w:ascii="Times New Roman" w:hAnsi="Times New Roman" w:cs="Times New Roman"/>
                <w:noProof/>
                <w:sz w:val="20"/>
                <w:szCs w:val="20"/>
                <w:lang w:eastAsia="de-AT"/>
              </w:rPr>
              <w:drawing>
                <wp:inline distT="0" distB="0" distL="0" distR="0" wp14:anchorId="25DA44D8" wp14:editId="418FE710">
                  <wp:extent cx="3084490" cy="2468032"/>
                  <wp:effectExtent l="0" t="0" r="1905" b="889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1777" cy="2473863"/>
                          </a:xfrm>
                          <a:prstGeom prst="rect">
                            <a:avLst/>
                          </a:prstGeom>
                          <a:noFill/>
                        </pic:spPr>
                      </pic:pic>
                    </a:graphicData>
                  </a:graphic>
                </wp:inline>
              </w:drawing>
            </w:r>
          </w:p>
        </w:tc>
        <w:tc>
          <w:tcPr>
            <w:tcW w:w="5401" w:type="dxa"/>
          </w:tcPr>
          <w:p w:rsidR="00752035" w:rsidRPr="00752035" w:rsidRDefault="00366A91" w:rsidP="00C63E59">
            <w:pPr>
              <w:spacing w:before="120" w:after="60"/>
              <w:rPr>
                <w:rFonts w:ascii="Times New Roman" w:eastAsia="Times New Roman" w:hAnsi="Times New Roman" w:cs="Times New Roman"/>
                <w:b/>
                <w:spacing w:val="-3"/>
                <w:sz w:val="24"/>
                <w:szCs w:val="24"/>
                <w:lang w:val="en-US"/>
              </w:rPr>
            </w:pPr>
            <w:r>
              <w:rPr>
                <w:rFonts w:ascii="Arial" w:eastAsia="Times New Roman" w:hAnsi="Arial" w:cs="Arial"/>
                <w:b/>
                <w:noProof/>
                <w:spacing w:val="-3"/>
                <w:sz w:val="24"/>
                <w:szCs w:val="24"/>
                <w:lang w:eastAsia="de-AT"/>
              </w:rPr>
              <w:drawing>
                <wp:inline distT="0" distB="0" distL="0" distR="0" wp14:anchorId="3826D7CC" wp14:editId="45317078">
                  <wp:extent cx="3283889" cy="200669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7554" cy="2008934"/>
                          </a:xfrm>
                          <a:prstGeom prst="rect">
                            <a:avLst/>
                          </a:prstGeom>
                          <a:noFill/>
                        </pic:spPr>
                      </pic:pic>
                    </a:graphicData>
                  </a:graphic>
                </wp:inline>
              </w:drawing>
            </w:r>
          </w:p>
        </w:tc>
      </w:tr>
      <w:tr w:rsidR="00752035" w:rsidRPr="00752035" w:rsidTr="00D5489B">
        <w:tc>
          <w:tcPr>
            <w:tcW w:w="5411" w:type="dxa"/>
          </w:tcPr>
          <w:p w:rsidR="00752035" w:rsidRPr="004732B9" w:rsidRDefault="00366A91" w:rsidP="00D5489B">
            <w:pPr>
              <w:spacing w:before="120" w:after="60"/>
              <w:rPr>
                <w:rFonts w:ascii="Times New Roman" w:eastAsia="Times New Roman" w:hAnsi="Times New Roman" w:cs="Times New Roman"/>
                <w:b/>
                <w:spacing w:val="-3"/>
                <w:sz w:val="20"/>
                <w:szCs w:val="20"/>
                <w:lang w:val="en-US"/>
              </w:rPr>
            </w:pPr>
            <w:r w:rsidRPr="004732B9">
              <w:rPr>
                <w:rFonts w:ascii="Times New Roman" w:hAnsi="Times New Roman" w:cs="Times New Roman"/>
                <w:b/>
                <w:spacing w:val="-3"/>
                <w:sz w:val="20"/>
                <w:szCs w:val="20"/>
                <w:lang w:val="en-US"/>
              </w:rPr>
              <w:t xml:space="preserve">Figure </w:t>
            </w:r>
            <w:r>
              <w:rPr>
                <w:rFonts w:ascii="Times New Roman" w:hAnsi="Times New Roman" w:cs="Times New Roman"/>
                <w:b/>
                <w:spacing w:val="-3"/>
                <w:sz w:val="20"/>
                <w:szCs w:val="20"/>
                <w:lang w:val="en-US"/>
              </w:rPr>
              <w:t>3</w:t>
            </w:r>
            <w:r w:rsidRPr="004732B9">
              <w:rPr>
                <w:rFonts w:ascii="Times New Roman" w:hAnsi="Times New Roman" w:cs="Times New Roman"/>
                <w:b/>
                <w:spacing w:val="-3"/>
                <w:sz w:val="20"/>
                <w:szCs w:val="20"/>
                <w:lang w:val="en-US"/>
              </w:rPr>
              <w:t>.</w:t>
            </w:r>
            <w:r w:rsidRPr="004732B9">
              <w:rPr>
                <w:rFonts w:ascii="Times New Roman" w:hAnsi="Times New Roman" w:cs="Times New Roman"/>
                <w:spacing w:val="-3"/>
                <w:sz w:val="20"/>
                <w:szCs w:val="20"/>
                <w:lang w:val="en-US"/>
              </w:rPr>
              <w:t xml:space="preserve"> </w:t>
            </w:r>
            <w:r>
              <w:rPr>
                <w:rFonts w:ascii="Times New Roman" w:hAnsi="Times New Roman" w:cs="Times New Roman"/>
                <w:spacing w:val="-3"/>
                <w:sz w:val="20"/>
                <w:szCs w:val="20"/>
                <w:lang w:val="en-US"/>
              </w:rPr>
              <w:t xml:space="preserve">Distribution of </w:t>
            </w:r>
            <w:r w:rsidRPr="004732B9">
              <w:rPr>
                <w:rFonts w:ascii="Times New Roman" w:hAnsi="Times New Roman" w:cs="Times New Roman"/>
                <w:spacing w:val="-3"/>
                <w:sz w:val="20"/>
                <w:szCs w:val="20"/>
                <w:lang w:val="en-US"/>
              </w:rPr>
              <w:t>electricity</w:t>
            </w:r>
            <w:r w:rsidR="00D5489B">
              <w:rPr>
                <w:rFonts w:ascii="Times New Roman" w:hAnsi="Times New Roman" w:cs="Times New Roman"/>
                <w:spacing w:val="-3"/>
                <w:sz w:val="20"/>
                <w:szCs w:val="20"/>
                <w:lang w:val="en-US"/>
              </w:rPr>
              <w:t xml:space="preserve"> prices over several years in Western European </w:t>
            </w:r>
            <w:r>
              <w:rPr>
                <w:rFonts w:ascii="Times New Roman" w:hAnsi="Times New Roman" w:cs="Times New Roman"/>
                <w:spacing w:val="-3"/>
                <w:sz w:val="20"/>
                <w:szCs w:val="20"/>
                <w:lang w:val="en-US"/>
              </w:rPr>
              <w:t>market</w:t>
            </w:r>
            <w:r w:rsidR="00D5489B">
              <w:rPr>
                <w:rFonts w:ascii="Times New Roman" w:hAnsi="Times New Roman" w:cs="Times New Roman"/>
                <w:spacing w:val="-3"/>
                <w:sz w:val="20"/>
                <w:szCs w:val="20"/>
                <w:lang w:val="en-US"/>
              </w:rPr>
              <w:t>s</w:t>
            </w:r>
          </w:p>
        </w:tc>
        <w:tc>
          <w:tcPr>
            <w:tcW w:w="5401" w:type="dxa"/>
          </w:tcPr>
          <w:p w:rsidR="00752035" w:rsidRPr="00752035" w:rsidRDefault="00366A91" w:rsidP="00366A91">
            <w:pPr>
              <w:spacing w:before="120" w:after="60"/>
              <w:rPr>
                <w:rFonts w:ascii="Times New Roman" w:eastAsia="Times New Roman" w:hAnsi="Times New Roman" w:cs="Times New Roman"/>
                <w:b/>
                <w:spacing w:val="-3"/>
                <w:sz w:val="24"/>
                <w:szCs w:val="24"/>
                <w:lang w:val="en-US"/>
              </w:rPr>
            </w:pPr>
            <w:r w:rsidRPr="004732B9">
              <w:rPr>
                <w:rFonts w:ascii="Times New Roman" w:hAnsi="Times New Roman" w:cs="Times New Roman"/>
                <w:b/>
                <w:spacing w:val="-3"/>
                <w:sz w:val="20"/>
                <w:szCs w:val="20"/>
                <w:lang w:val="en-US"/>
              </w:rPr>
              <w:t xml:space="preserve">Figure </w:t>
            </w:r>
            <w:r>
              <w:rPr>
                <w:rFonts w:ascii="Times New Roman" w:hAnsi="Times New Roman" w:cs="Times New Roman"/>
                <w:b/>
                <w:spacing w:val="-3"/>
                <w:sz w:val="20"/>
                <w:szCs w:val="20"/>
                <w:lang w:val="en-US"/>
              </w:rPr>
              <w:t>4</w:t>
            </w:r>
            <w:r w:rsidRPr="004732B9">
              <w:rPr>
                <w:rFonts w:ascii="Times New Roman" w:hAnsi="Times New Roman" w:cs="Times New Roman"/>
                <w:b/>
                <w:spacing w:val="-3"/>
                <w:sz w:val="20"/>
                <w:szCs w:val="20"/>
                <w:lang w:val="en-US"/>
              </w:rPr>
              <w:t>.</w:t>
            </w:r>
            <w:r w:rsidRPr="004732B9">
              <w:rPr>
                <w:rFonts w:ascii="Times New Roman" w:hAnsi="Times New Roman" w:cs="Times New Roman"/>
                <w:spacing w:val="-3"/>
                <w:sz w:val="20"/>
                <w:szCs w:val="20"/>
                <w:lang w:val="en-US"/>
              </w:rPr>
              <w:t xml:space="preserve"> Development of residual load in </w:t>
            </w:r>
            <w:r>
              <w:rPr>
                <w:rFonts w:ascii="Times New Roman" w:hAnsi="Times New Roman" w:cs="Times New Roman"/>
                <w:spacing w:val="-3"/>
                <w:sz w:val="20"/>
                <w:szCs w:val="20"/>
                <w:lang w:val="en-US"/>
              </w:rPr>
              <w:t>Austria</w:t>
            </w:r>
            <w:r w:rsidRPr="004732B9">
              <w:rPr>
                <w:rFonts w:ascii="Times New Roman" w:hAnsi="Times New Roman" w:cs="Times New Roman"/>
                <w:spacing w:val="-3"/>
                <w:sz w:val="20"/>
                <w:szCs w:val="20"/>
                <w:lang w:val="en-US"/>
              </w:rPr>
              <w:t xml:space="preserve"> 2013 and in a scenario up to 2030 with high share of </w:t>
            </w:r>
            <w:r>
              <w:rPr>
                <w:rFonts w:ascii="Times New Roman" w:hAnsi="Times New Roman" w:cs="Times New Roman"/>
                <w:spacing w:val="-3"/>
                <w:sz w:val="20"/>
                <w:szCs w:val="20"/>
                <w:lang w:val="en-US"/>
              </w:rPr>
              <w:t>variable</w:t>
            </w:r>
            <w:r w:rsidRPr="004732B9">
              <w:rPr>
                <w:rFonts w:ascii="Times New Roman" w:hAnsi="Times New Roman" w:cs="Times New Roman"/>
                <w:spacing w:val="-3"/>
                <w:sz w:val="20"/>
                <w:szCs w:val="20"/>
                <w:lang w:val="en-US"/>
              </w:rPr>
              <w:t xml:space="preserve"> renewables</w:t>
            </w:r>
            <w:r w:rsidRPr="004732B9">
              <w:rPr>
                <w:rFonts w:ascii="Times New Roman" w:hAnsi="Times New Roman" w:cs="Times New Roman"/>
                <w:b/>
                <w:spacing w:val="-3"/>
                <w:sz w:val="20"/>
                <w:szCs w:val="20"/>
                <w:lang w:val="en-US"/>
              </w:rPr>
              <w:t xml:space="preserve"> </w:t>
            </w:r>
          </w:p>
        </w:tc>
      </w:tr>
    </w:tbl>
    <w:p w:rsidR="00D53C4F" w:rsidRDefault="00D53C4F" w:rsidP="004732B9">
      <w:pPr>
        <w:spacing w:before="120" w:after="60"/>
        <w:rPr>
          <w:rFonts w:ascii="Arial" w:eastAsia="Times New Roman" w:hAnsi="Arial" w:cs="Arial"/>
          <w:b/>
          <w:spacing w:val="-3"/>
          <w:sz w:val="24"/>
          <w:szCs w:val="24"/>
          <w:lang w:val="en-US"/>
        </w:rPr>
      </w:pPr>
    </w:p>
    <w:p w:rsidR="004732B9" w:rsidRPr="00C63E59" w:rsidRDefault="004732B9" w:rsidP="004732B9">
      <w:pPr>
        <w:spacing w:before="120" w:after="60"/>
        <w:rPr>
          <w:rFonts w:ascii="Arial" w:eastAsia="Times New Roman" w:hAnsi="Arial" w:cs="Arial"/>
          <w:b/>
          <w:spacing w:val="-3"/>
          <w:sz w:val="24"/>
          <w:szCs w:val="24"/>
          <w:lang w:val="en-US"/>
        </w:rPr>
      </w:pPr>
      <w:r>
        <w:rPr>
          <w:rFonts w:ascii="Arial" w:eastAsia="Times New Roman" w:hAnsi="Arial" w:cs="Arial"/>
          <w:b/>
          <w:spacing w:val="-3"/>
          <w:sz w:val="24"/>
          <w:szCs w:val="24"/>
          <w:lang w:val="en-US"/>
        </w:rPr>
        <w:t>Conclusions</w:t>
      </w:r>
    </w:p>
    <w:p w:rsidR="004732B9" w:rsidRDefault="004732B9" w:rsidP="00D13B50">
      <w:pPr>
        <w:spacing w:after="0" w:line="240" w:lineRule="auto"/>
        <w:jc w:val="both"/>
        <w:rPr>
          <w:rFonts w:ascii="Times New Roman" w:hAnsi="Times New Roman" w:cs="Times New Roman"/>
          <w:sz w:val="20"/>
          <w:szCs w:val="20"/>
          <w:lang w:val="en-US"/>
        </w:rPr>
      </w:pPr>
      <w:r w:rsidRPr="004732B9">
        <w:rPr>
          <w:rFonts w:ascii="Times New Roman" w:hAnsi="Times New Roman" w:cs="Times New Roman"/>
          <w:sz w:val="20"/>
          <w:szCs w:val="20"/>
          <w:lang w:val="en-US"/>
        </w:rPr>
        <w:t>The major conclusion</w:t>
      </w:r>
      <w:r w:rsidR="00D13B50">
        <w:rPr>
          <w:rFonts w:ascii="Times New Roman" w:hAnsi="Times New Roman" w:cs="Times New Roman"/>
          <w:sz w:val="20"/>
          <w:szCs w:val="20"/>
          <w:lang w:val="en-US"/>
        </w:rPr>
        <w:t>s are: Most important</w:t>
      </w:r>
      <w:r w:rsidR="003E3401">
        <w:rPr>
          <w:rFonts w:ascii="Times New Roman" w:hAnsi="Times New Roman" w:cs="Times New Roman"/>
          <w:sz w:val="20"/>
          <w:szCs w:val="20"/>
          <w:lang w:val="en-US"/>
        </w:rPr>
        <w:t xml:space="preserve"> for integrating larger shares of RES-E into the energy system</w:t>
      </w:r>
      <w:r w:rsidR="00D13B50">
        <w:rPr>
          <w:rFonts w:ascii="Times New Roman" w:hAnsi="Times New Roman" w:cs="Times New Roman"/>
          <w:sz w:val="20"/>
          <w:szCs w:val="20"/>
          <w:lang w:val="en-US"/>
        </w:rPr>
        <w:t xml:space="preserve"> </w:t>
      </w:r>
      <w:r w:rsidRPr="004732B9">
        <w:rPr>
          <w:rFonts w:ascii="Times New Roman" w:hAnsi="Times New Roman" w:cs="Times New Roman"/>
          <w:sz w:val="20"/>
          <w:szCs w:val="20"/>
          <w:lang w:val="en-US"/>
        </w:rPr>
        <w:t>is</w:t>
      </w:r>
      <w:r w:rsidR="00D13B50">
        <w:rPr>
          <w:rFonts w:ascii="Times New Roman" w:hAnsi="Times New Roman" w:cs="Times New Roman"/>
          <w:sz w:val="20"/>
          <w:szCs w:val="20"/>
          <w:lang w:val="en-US"/>
        </w:rPr>
        <w:t xml:space="preserve"> to ensure that flexibility options have a fair chance in the </w:t>
      </w:r>
      <w:r w:rsidR="00D13B50" w:rsidRPr="00D13B50">
        <w:rPr>
          <w:rFonts w:ascii="Times New Roman" w:hAnsi="Times New Roman" w:cs="Times New Roman"/>
          <w:sz w:val="20"/>
          <w:szCs w:val="20"/>
          <w:lang w:val="en-US"/>
        </w:rPr>
        <w:t xml:space="preserve">electricity markets </w:t>
      </w:r>
      <w:r w:rsidR="00D13B50">
        <w:rPr>
          <w:rFonts w:ascii="Times New Roman" w:hAnsi="Times New Roman" w:cs="Times New Roman"/>
          <w:sz w:val="20"/>
          <w:szCs w:val="20"/>
          <w:lang w:val="en-US"/>
        </w:rPr>
        <w:t xml:space="preserve">based on correct price signals from the market coordinator. </w:t>
      </w:r>
      <w:r w:rsidR="003E3401">
        <w:rPr>
          <w:rFonts w:ascii="Times New Roman" w:hAnsi="Times New Roman" w:cs="Times New Roman"/>
          <w:sz w:val="20"/>
          <w:szCs w:val="20"/>
          <w:lang w:val="en-US"/>
        </w:rPr>
        <w:t xml:space="preserve">This applies also to transfers to the heat and transport sector. </w:t>
      </w:r>
      <w:r w:rsidR="00D13B50">
        <w:rPr>
          <w:rFonts w:ascii="Times New Roman" w:hAnsi="Times New Roman" w:cs="Times New Roman"/>
          <w:sz w:val="20"/>
          <w:szCs w:val="20"/>
          <w:lang w:val="en-US"/>
        </w:rPr>
        <w:t xml:space="preserve">Yet, </w:t>
      </w:r>
      <w:r w:rsidRPr="004732B9">
        <w:rPr>
          <w:rFonts w:ascii="Times New Roman" w:hAnsi="Times New Roman" w:cs="Times New Roman"/>
          <w:sz w:val="20"/>
          <w:szCs w:val="20"/>
          <w:lang w:val="en-US"/>
        </w:rPr>
        <w:t xml:space="preserve">these flexibility options will only then be harvested when sufficiently high price signals from the </w:t>
      </w:r>
      <w:r w:rsidRPr="00D13B50">
        <w:rPr>
          <w:rFonts w:ascii="Times New Roman" w:hAnsi="Times New Roman" w:cs="Times New Roman"/>
          <w:sz w:val="20"/>
          <w:szCs w:val="20"/>
          <w:lang w:val="en-US"/>
        </w:rPr>
        <w:t>electricity markets</w:t>
      </w:r>
      <w:r w:rsidRPr="004732B9">
        <w:rPr>
          <w:rFonts w:ascii="Times New Roman" w:hAnsi="Times New Roman" w:cs="Times New Roman"/>
          <w:sz w:val="20"/>
          <w:szCs w:val="20"/>
          <w:lang w:val="en-US"/>
        </w:rPr>
        <w:t xml:space="preserve"> trigger these options, when “the exploration principle in the markets work”</w:t>
      </w:r>
      <w:r w:rsidR="003E3401">
        <w:rPr>
          <w:rFonts w:ascii="Times New Roman" w:hAnsi="Times New Roman" w:cs="Times New Roman"/>
          <w:sz w:val="20"/>
          <w:szCs w:val="20"/>
          <w:lang w:val="en-US"/>
        </w:rPr>
        <w:t xml:space="preserve"> (Erdmann, 2012)</w:t>
      </w:r>
      <w:r w:rsidRPr="004732B9">
        <w:rPr>
          <w:rFonts w:ascii="Times New Roman" w:hAnsi="Times New Roman" w:cs="Times New Roman"/>
          <w:sz w:val="20"/>
          <w:szCs w:val="20"/>
          <w:lang w:val="en-US"/>
        </w:rPr>
        <w:t xml:space="preserve">. Yet this will only be done if the market is not distorted by </w:t>
      </w:r>
      <w:r w:rsidR="00D13B50">
        <w:rPr>
          <w:rFonts w:ascii="Times New Roman" w:hAnsi="Times New Roman" w:cs="Times New Roman"/>
          <w:sz w:val="20"/>
          <w:szCs w:val="20"/>
          <w:lang w:val="en-US"/>
        </w:rPr>
        <w:t xml:space="preserve">e.g. </w:t>
      </w:r>
      <w:r w:rsidRPr="004732B9">
        <w:rPr>
          <w:rFonts w:ascii="Times New Roman" w:hAnsi="Times New Roman" w:cs="Times New Roman"/>
          <w:sz w:val="20"/>
          <w:szCs w:val="20"/>
          <w:lang w:val="en-US"/>
        </w:rPr>
        <w:t xml:space="preserve">centralized capacity payments. </w:t>
      </w:r>
    </w:p>
    <w:p w:rsidR="003E3401" w:rsidRDefault="003E3401" w:rsidP="00D13B50">
      <w:pPr>
        <w:spacing w:after="0" w:line="240" w:lineRule="auto"/>
        <w:jc w:val="both"/>
        <w:rPr>
          <w:rFonts w:ascii="Times New Roman" w:hAnsi="Times New Roman" w:cs="Times New Roman"/>
          <w:sz w:val="20"/>
          <w:szCs w:val="20"/>
          <w:lang w:val="en-US"/>
        </w:rPr>
      </w:pPr>
    </w:p>
    <w:p w:rsidR="003E3401" w:rsidRPr="00B4294D" w:rsidRDefault="003E3401" w:rsidP="003E3401">
      <w:pPr>
        <w:spacing w:before="120" w:after="60"/>
        <w:rPr>
          <w:rFonts w:ascii="Arial" w:eastAsia="Times New Roman" w:hAnsi="Arial" w:cs="Arial"/>
          <w:b/>
          <w:spacing w:val="-3"/>
          <w:sz w:val="24"/>
          <w:szCs w:val="24"/>
        </w:rPr>
      </w:pPr>
      <w:r w:rsidRPr="00B4294D">
        <w:rPr>
          <w:rFonts w:ascii="Arial" w:eastAsia="Times New Roman" w:hAnsi="Arial" w:cs="Arial"/>
          <w:b/>
          <w:spacing w:val="-3"/>
          <w:sz w:val="24"/>
          <w:szCs w:val="24"/>
        </w:rPr>
        <w:t>References</w:t>
      </w:r>
    </w:p>
    <w:p w:rsidR="003E3401" w:rsidRPr="004732B9" w:rsidRDefault="00B4294D" w:rsidP="00B4294D">
      <w:pPr>
        <w:autoSpaceDE w:val="0"/>
        <w:autoSpaceDN w:val="0"/>
        <w:adjustRightInd w:val="0"/>
        <w:spacing w:after="0" w:line="240" w:lineRule="auto"/>
        <w:rPr>
          <w:rFonts w:ascii="Times New Roman" w:hAnsi="Times New Roman" w:cs="Times New Roman"/>
          <w:sz w:val="20"/>
          <w:szCs w:val="20"/>
          <w:lang w:val="en-US"/>
        </w:rPr>
      </w:pPr>
      <w:r w:rsidRPr="00B4294D">
        <w:rPr>
          <w:rFonts w:ascii="Times New Roman" w:hAnsi="Times New Roman" w:cs="Times New Roman"/>
          <w:sz w:val="20"/>
          <w:szCs w:val="20"/>
          <w:lang w:val="en-US"/>
        </w:rPr>
        <w:t>Erdmann, G.: Das Entdeckungsverfahren des</w:t>
      </w:r>
      <w:r w:rsidRPr="00B4294D">
        <w:rPr>
          <w:rFonts w:ascii="Times New Roman" w:hAnsi="Times New Roman" w:cs="Times New Roman"/>
          <w:sz w:val="20"/>
          <w:szCs w:val="20"/>
          <w:lang w:val="en-US"/>
        </w:rPr>
        <w:t xml:space="preserve"> </w:t>
      </w:r>
      <w:r w:rsidRPr="00B4294D">
        <w:rPr>
          <w:rFonts w:ascii="Times New Roman" w:hAnsi="Times New Roman" w:cs="Times New Roman"/>
          <w:sz w:val="20"/>
          <w:szCs w:val="20"/>
          <w:lang w:val="en-US"/>
        </w:rPr>
        <w:t>Marktes nutzen. In: Energie &amp; Mana</w:t>
      </w:r>
      <w:bookmarkStart w:id="0" w:name="_GoBack"/>
      <w:bookmarkEnd w:id="0"/>
      <w:r w:rsidRPr="00B4294D">
        <w:rPr>
          <w:rFonts w:ascii="Times New Roman" w:hAnsi="Times New Roman" w:cs="Times New Roman"/>
          <w:sz w:val="20"/>
          <w:szCs w:val="20"/>
          <w:lang w:val="en-US"/>
        </w:rPr>
        <w:t>gement, 15.8.2012,</w:t>
      </w:r>
      <w:r w:rsidRPr="00B4294D">
        <w:rPr>
          <w:rFonts w:ascii="Times New Roman" w:hAnsi="Times New Roman" w:cs="Times New Roman"/>
          <w:sz w:val="20"/>
          <w:szCs w:val="20"/>
          <w:lang w:val="en-US"/>
        </w:rPr>
        <w:t xml:space="preserve"> </w:t>
      </w:r>
      <w:r w:rsidRPr="00B4294D">
        <w:rPr>
          <w:rFonts w:ascii="Times New Roman" w:hAnsi="Times New Roman" w:cs="Times New Roman"/>
          <w:sz w:val="20"/>
          <w:szCs w:val="20"/>
          <w:lang w:val="en-US"/>
        </w:rPr>
        <w:t>S. 6.</w:t>
      </w:r>
    </w:p>
    <w:sectPr w:rsidR="003E3401" w:rsidRPr="004732B9" w:rsidSect="00C62129">
      <w:pgSz w:w="12240" w:h="15840"/>
      <w:pgMar w:top="1191" w:right="90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F0DED"/>
    <w:multiLevelType w:val="hybridMultilevel"/>
    <w:tmpl w:val="D0C49AB8"/>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1F0966B3"/>
    <w:multiLevelType w:val="hybridMultilevel"/>
    <w:tmpl w:val="5ECE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3A7"/>
    <w:rsid w:val="0000790D"/>
    <w:rsid w:val="000137A7"/>
    <w:rsid w:val="0004681A"/>
    <w:rsid w:val="00052BF7"/>
    <w:rsid w:val="0006512F"/>
    <w:rsid w:val="00072872"/>
    <w:rsid w:val="00096E66"/>
    <w:rsid w:val="000B1A35"/>
    <w:rsid w:val="000C0073"/>
    <w:rsid w:val="000C2460"/>
    <w:rsid w:val="000C5F21"/>
    <w:rsid w:val="00101DA0"/>
    <w:rsid w:val="001269EC"/>
    <w:rsid w:val="0012740E"/>
    <w:rsid w:val="00134194"/>
    <w:rsid w:val="00156392"/>
    <w:rsid w:val="001670C1"/>
    <w:rsid w:val="00180789"/>
    <w:rsid w:val="00190ED8"/>
    <w:rsid w:val="001C50C1"/>
    <w:rsid w:val="001F237E"/>
    <w:rsid w:val="00201AE9"/>
    <w:rsid w:val="00212AA6"/>
    <w:rsid w:val="00216610"/>
    <w:rsid w:val="0025429C"/>
    <w:rsid w:val="002543F9"/>
    <w:rsid w:val="00266862"/>
    <w:rsid w:val="002A0CC5"/>
    <w:rsid w:val="002F24BD"/>
    <w:rsid w:val="00342A4A"/>
    <w:rsid w:val="00366A91"/>
    <w:rsid w:val="00384004"/>
    <w:rsid w:val="003B2A4B"/>
    <w:rsid w:val="003E0957"/>
    <w:rsid w:val="003E23F5"/>
    <w:rsid w:val="003E3401"/>
    <w:rsid w:val="003E3A7F"/>
    <w:rsid w:val="003F2D5C"/>
    <w:rsid w:val="00400AB7"/>
    <w:rsid w:val="00402A3D"/>
    <w:rsid w:val="00404473"/>
    <w:rsid w:val="00404B8C"/>
    <w:rsid w:val="0041127D"/>
    <w:rsid w:val="004114A8"/>
    <w:rsid w:val="00430D5A"/>
    <w:rsid w:val="004352E6"/>
    <w:rsid w:val="00441828"/>
    <w:rsid w:val="004479C5"/>
    <w:rsid w:val="004732B9"/>
    <w:rsid w:val="00473ED8"/>
    <w:rsid w:val="00482638"/>
    <w:rsid w:val="004A220C"/>
    <w:rsid w:val="004A6C41"/>
    <w:rsid w:val="004B3AC2"/>
    <w:rsid w:val="004D56C0"/>
    <w:rsid w:val="004E1ED5"/>
    <w:rsid w:val="004E734E"/>
    <w:rsid w:val="00510159"/>
    <w:rsid w:val="00512242"/>
    <w:rsid w:val="005255B6"/>
    <w:rsid w:val="005259B7"/>
    <w:rsid w:val="00534564"/>
    <w:rsid w:val="005441AC"/>
    <w:rsid w:val="005509CD"/>
    <w:rsid w:val="00567B5B"/>
    <w:rsid w:val="00591529"/>
    <w:rsid w:val="005A587F"/>
    <w:rsid w:val="005B22C4"/>
    <w:rsid w:val="005B63DE"/>
    <w:rsid w:val="005C4B03"/>
    <w:rsid w:val="00646B97"/>
    <w:rsid w:val="00653020"/>
    <w:rsid w:val="00657520"/>
    <w:rsid w:val="006575B0"/>
    <w:rsid w:val="00671C7E"/>
    <w:rsid w:val="00686A1D"/>
    <w:rsid w:val="006918B3"/>
    <w:rsid w:val="00696245"/>
    <w:rsid w:val="006A4934"/>
    <w:rsid w:val="006B472F"/>
    <w:rsid w:val="006F4E97"/>
    <w:rsid w:val="0072039A"/>
    <w:rsid w:val="00721DB7"/>
    <w:rsid w:val="007236A5"/>
    <w:rsid w:val="007339AA"/>
    <w:rsid w:val="00741F22"/>
    <w:rsid w:val="00747714"/>
    <w:rsid w:val="00752035"/>
    <w:rsid w:val="007564DD"/>
    <w:rsid w:val="00771914"/>
    <w:rsid w:val="007944D8"/>
    <w:rsid w:val="007973D1"/>
    <w:rsid w:val="007C08B9"/>
    <w:rsid w:val="007C0EFD"/>
    <w:rsid w:val="007C61BC"/>
    <w:rsid w:val="007D62E3"/>
    <w:rsid w:val="00811E5E"/>
    <w:rsid w:val="00817C9F"/>
    <w:rsid w:val="008328FC"/>
    <w:rsid w:val="00856119"/>
    <w:rsid w:val="00871BA9"/>
    <w:rsid w:val="008A0ECE"/>
    <w:rsid w:val="008B327D"/>
    <w:rsid w:val="008B5E03"/>
    <w:rsid w:val="008E411E"/>
    <w:rsid w:val="008E69E9"/>
    <w:rsid w:val="009006B6"/>
    <w:rsid w:val="00902615"/>
    <w:rsid w:val="009603AA"/>
    <w:rsid w:val="00976F38"/>
    <w:rsid w:val="00987321"/>
    <w:rsid w:val="009A210E"/>
    <w:rsid w:val="009A32D2"/>
    <w:rsid w:val="009B6AAD"/>
    <w:rsid w:val="009F4BCA"/>
    <w:rsid w:val="00A05807"/>
    <w:rsid w:val="00A12B40"/>
    <w:rsid w:val="00A17352"/>
    <w:rsid w:val="00A232E8"/>
    <w:rsid w:val="00A259EB"/>
    <w:rsid w:val="00A32157"/>
    <w:rsid w:val="00A356E2"/>
    <w:rsid w:val="00A367BF"/>
    <w:rsid w:val="00A4447B"/>
    <w:rsid w:val="00A66F62"/>
    <w:rsid w:val="00A82F58"/>
    <w:rsid w:val="00A90045"/>
    <w:rsid w:val="00AA44C0"/>
    <w:rsid w:val="00AD684D"/>
    <w:rsid w:val="00AE34EF"/>
    <w:rsid w:val="00B243A7"/>
    <w:rsid w:val="00B4294D"/>
    <w:rsid w:val="00B53404"/>
    <w:rsid w:val="00BC3BF4"/>
    <w:rsid w:val="00BE055F"/>
    <w:rsid w:val="00BE074E"/>
    <w:rsid w:val="00BF6F01"/>
    <w:rsid w:val="00C026D9"/>
    <w:rsid w:val="00C0340C"/>
    <w:rsid w:val="00C17DAE"/>
    <w:rsid w:val="00C609DE"/>
    <w:rsid w:val="00C62129"/>
    <w:rsid w:val="00C62D68"/>
    <w:rsid w:val="00C63E59"/>
    <w:rsid w:val="00C95847"/>
    <w:rsid w:val="00CC23E3"/>
    <w:rsid w:val="00CD138D"/>
    <w:rsid w:val="00CF41CC"/>
    <w:rsid w:val="00CF607C"/>
    <w:rsid w:val="00D10D08"/>
    <w:rsid w:val="00D11C82"/>
    <w:rsid w:val="00D13B50"/>
    <w:rsid w:val="00D31B25"/>
    <w:rsid w:val="00D53C4F"/>
    <w:rsid w:val="00D5489B"/>
    <w:rsid w:val="00DA37CB"/>
    <w:rsid w:val="00DD4B7F"/>
    <w:rsid w:val="00DE3FDF"/>
    <w:rsid w:val="00E10459"/>
    <w:rsid w:val="00E11B8E"/>
    <w:rsid w:val="00E15E6E"/>
    <w:rsid w:val="00E241B7"/>
    <w:rsid w:val="00E24433"/>
    <w:rsid w:val="00E30780"/>
    <w:rsid w:val="00E943B8"/>
    <w:rsid w:val="00EA00A0"/>
    <w:rsid w:val="00EB2AC4"/>
    <w:rsid w:val="00EB55C0"/>
    <w:rsid w:val="00EC246E"/>
    <w:rsid w:val="00ED7650"/>
    <w:rsid w:val="00EF0B2B"/>
    <w:rsid w:val="00F16632"/>
    <w:rsid w:val="00F43D4D"/>
    <w:rsid w:val="00F514F1"/>
    <w:rsid w:val="00F56695"/>
    <w:rsid w:val="00F73766"/>
    <w:rsid w:val="00F950DE"/>
    <w:rsid w:val="00FD40F7"/>
    <w:rsid w:val="00FD4795"/>
    <w:rsid w:val="00FD6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AT"/>
    </w:rPr>
  </w:style>
  <w:style w:type="paragraph" w:styleId="berschrift1">
    <w:name w:val="heading 1"/>
    <w:basedOn w:val="Standard"/>
    <w:next w:val="Standard"/>
    <w:link w:val="berschrift1Zchn"/>
    <w:uiPriority w:val="9"/>
    <w:qFormat/>
    <w:rsid w:val="00C621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1F237E"/>
    <w:pPr>
      <w:keepNext/>
      <w:spacing w:before="240" w:after="60" w:line="240" w:lineRule="auto"/>
      <w:outlineLvl w:val="1"/>
    </w:pPr>
    <w:rPr>
      <w:rFonts w:ascii="Arial" w:eastAsia="Times New Roman" w:hAnsi="Arial" w:cs="Times New Roman"/>
      <w:b/>
      <w:i/>
      <w:szCs w:val="20"/>
      <w:lang w:val="en-GB"/>
    </w:rPr>
  </w:style>
  <w:style w:type="paragraph" w:styleId="berschrift3">
    <w:name w:val="heading 3"/>
    <w:basedOn w:val="Standard"/>
    <w:next w:val="Standard"/>
    <w:link w:val="berschrift3Zchn"/>
    <w:uiPriority w:val="9"/>
    <w:semiHidden/>
    <w:unhideWhenUsed/>
    <w:qFormat/>
    <w:rsid w:val="00C621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harCharChar1CharCharCharCharZchnChar1Zchn1Char">
    <w:name w:val="Char Char Char1 Char Char Char Char Zchn Char1 Zchn1 Char"/>
    <w:aliases w:val="Char Char Char1 Char Char Zchn Zchn Char1 Zchn Zchn1 Char"/>
    <w:basedOn w:val="Standard"/>
    <w:rsid w:val="00C609DE"/>
    <w:pPr>
      <w:spacing w:after="0" w:line="240" w:lineRule="auto"/>
    </w:pPr>
    <w:rPr>
      <w:rFonts w:ascii="Times New Roman" w:eastAsia="Times New Roman" w:hAnsi="Times New Roman" w:cs="Times New Roman"/>
      <w:sz w:val="24"/>
      <w:szCs w:val="24"/>
      <w:lang w:val="pl-PL" w:eastAsia="pl-PL"/>
    </w:rPr>
  </w:style>
  <w:style w:type="paragraph" w:customStyle="1" w:styleId="BodyTextDRCN">
    <w:name w:val="Body Text DRCN"/>
    <w:basedOn w:val="Standard"/>
    <w:rsid w:val="002F24BD"/>
    <w:pPr>
      <w:spacing w:after="60" w:line="240" w:lineRule="auto"/>
      <w:ind w:firstLine="187"/>
      <w:jc w:val="both"/>
    </w:pPr>
    <w:rPr>
      <w:rFonts w:ascii="Times New Roman" w:eastAsia="Times New Roman" w:hAnsi="Times New Roman" w:cs="Times New Roman"/>
      <w:sz w:val="20"/>
      <w:szCs w:val="24"/>
      <w:lang w:val="en-CA" w:eastAsia="ar-SA"/>
    </w:rPr>
  </w:style>
  <w:style w:type="paragraph" w:customStyle="1" w:styleId="AbstractText">
    <w:name w:val="Abstract Text"/>
    <w:next w:val="Standard"/>
    <w:rsid w:val="002F24BD"/>
    <w:pPr>
      <w:widowControl w:val="0"/>
      <w:spacing w:before="240" w:after="0" w:line="240" w:lineRule="auto"/>
      <w:jc w:val="both"/>
      <w:outlineLvl w:val="1"/>
    </w:pPr>
    <w:rPr>
      <w:rFonts w:ascii="Times New Roman" w:eastAsia="Times New Roman" w:hAnsi="Times New Roman" w:cs="Times New Roman"/>
      <w:sz w:val="20"/>
      <w:szCs w:val="20"/>
      <w:lang w:val="en-GB"/>
    </w:rPr>
  </w:style>
  <w:style w:type="paragraph" w:styleId="Sprechblasentext">
    <w:name w:val="Balloon Text"/>
    <w:basedOn w:val="Standard"/>
    <w:link w:val="SprechblasentextZchn"/>
    <w:uiPriority w:val="99"/>
    <w:semiHidden/>
    <w:unhideWhenUsed/>
    <w:rsid w:val="002F24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24BD"/>
    <w:rPr>
      <w:rFonts w:ascii="Tahoma" w:hAnsi="Tahoma" w:cs="Tahoma"/>
      <w:sz w:val="16"/>
      <w:szCs w:val="16"/>
      <w:lang w:val="de-AT"/>
    </w:rPr>
  </w:style>
  <w:style w:type="character" w:customStyle="1" w:styleId="berschrift2Zchn">
    <w:name w:val="Überschrift 2 Zchn"/>
    <w:basedOn w:val="Absatz-Standardschriftart"/>
    <w:link w:val="berschrift2"/>
    <w:rsid w:val="001F237E"/>
    <w:rPr>
      <w:rFonts w:ascii="Arial" w:eastAsia="Times New Roman" w:hAnsi="Arial" w:cs="Times New Roman"/>
      <w:b/>
      <w:i/>
      <w:szCs w:val="20"/>
      <w:lang w:val="en-GB"/>
    </w:rPr>
  </w:style>
  <w:style w:type="character" w:customStyle="1" w:styleId="berschrift1Zchn">
    <w:name w:val="Überschrift 1 Zchn"/>
    <w:basedOn w:val="Absatz-Standardschriftart"/>
    <w:link w:val="berschrift1"/>
    <w:uiPriority w:val="9"/>
    <w:rsid w:val="00C62129"/>
    <w:rPr>
      <w:rFonts w:asciiTheme="majorHAnsi" w:eastAsiaTheme="majorEastAsia" w:hAnsiTheme="majorHAnsi" w:cstheme="majorBidi"/>
      <w:b/>
      <w:bCs/>
      <w:color w:val="365F91" w:themeColor="accent1" w:themeShade="BF"/>
      <w:sz w:val="28"/>
      <w:szCs w:val="28"/>
      <w:lang w:val="de-AT"/>
    </w:rPr>
  </w:style>
  <w:style w:type="character" w:customStyle="1" w:styleId="berschrift3Zchn">
    <w:name w:val="Überschrift 3 Zchn"/>
    <w:basedOn w:val="Absatz-Standardschriftart"/>
    <w:link w:val="berschrift3"/>
    <w:uiPriority w:val="9"/>
    <w:semiHidden/>
    <w:rsid w:val="00C62129"/>
    <w:rPr>
      <w:rFonts w:asciiTheme="majorHAnsi" w:eastAsiaTheme="majorEastAsia" w:hAnsiTheme="majorHAnsi" w:cstheme="majorBidi"/>
      <w:b/>
      <w:bCs/>
      <w:color w:val="4F81BD" w:themeColor="accent1"/>
      <w:lang w:val="de-AT"/>
    </w:rPr>
  </w:style>
  <w:style w:type="paragraph" w:styleId="Textkrper">
    <w:name w:val="Body Text"/>
    <w:basedOn w:val="Standard"/>
    <w:link w:val="TextkrperZchn"/>
    <w:rsid w:val="00C62129"/>
    <w:pPr>
      <w:spacing w:after="0" w:line="240" w:lineRule="auto"/>
    </w:pPr>
    <w:rPr>
      <w:rFonts w:ascii="Times New Roman" w:eastAsia="Times New Roman" w:hAnsi="Times New Roman" w:cs="Times New Roman"/>
      <w:szCs w:val="20"/>
      <w:lang w:val="en-GB"/>
    </w:rPr>
  </w:style>
  <w:style w:type="character" w:customStyle="1" w:styleId="TextkrperZchn">
    <w:name w:val="Textkörper Zchn"/>
    <w:basedOn w:val="Absatz-Standardschriftart"/>
    <w:link w:val="Textkrper"/>
    <w:rsid w:val="00C62129"/>
    <w:rPr>
      <w:rFonts w:ascii="Times New Roman" w:eastAsia="Times New Roman" w:hAnsi="Times New Roman" w:cs="Times New Roman"/>
      <w:szCs w:val="20"/>
      <w:lang w:val="en-GB"/>
    </w:rPr>
  </w:style>
  <w:style w:type="character" w:styleId="Hyperlink">
    <w:name w:val="Hyperlink"/>
    <w:basedOn w:val="Absatz-Standardschriftart"/>
    <w:uiPriority w:val="99"/>
    <w:unhideWhenUsed/>
    <w:rsid w:val="00430D5A"/>
    <w:rPr>
      <w:color w:val="0000FF" w:themeColor="hyperlink"/>
      <w:u w:val="single"/>
    </w:rPr>
  </w:style>
  <w:style w:type="table" w:styleId="Tabellenraster">
    <w:name w:val="Table Grid"/>
    <w:basedOn w:val="NormaleTabelle"/>
    <w:uiPriority w:val="59"/>
    <w:rsid w:val="00752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rsid w:val="004732B9"/>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paragraph" w:styleId="Listenabsatz">
    <w:name w:val="List Paragraph"/>
    <w:basedOn w:val="Standard"/>
    <w:uiPriority w:val="34"/>
    <w:qFormat/>
    <w:rsid w:val="004732B9"/>
    <w:pPr>
      <w:spacing w:before="60" w:after="60" w:line="240" w:lineRule="auto"/>
      <w:ind w:left="720"/>
      <w:contextualSpacing/>
    </w:pPr>
    <w:rPr>
      <w:rFonts w:ascii="Times New Roman" w:eastAsia="Times New Roman" w:hAnsi="Times New Roman" w:cs="Times New Roman"/>
      <w:sz w:val="24"/>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AT"/>
    </w:rPr>
  </w:style>
  <w:style w:type="paragraph" w:styleId="berschrift1">
    <w:name w:val="heading 1"/>
    <w:basedOn w:val="Standard"/>
    <w:next w:val="Standard"/>
    <w:link w:val="berschrift1Zchn"/>
    <w:uiPriority w:val="9"/>
    <w:qFormat/>
    <w:rsid w:val="00C621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1F237E"/>
    <w:pPr>
      <w:keepNext/>
      <w:spacing w:before="240" w:after="60" w:line="240" w:lineRule="auto"/>
      <w:outlineLvl w:val="1"/>
    </w:pPr>
    <w:rPr>
      <w:rFonts w:ascii="Arial" w:eastAsia="Times New Roman" w:hAnsi="Arial" w:cs="Times New Roman"/>
      <w:b/>
      <w:i/>
      <w:szCs w:val="20"/>
      <w:lang w:val="en-GB"/>
    </w:rPr>
  </w:style>
  <w:style w:type="paragraph" w:styleId="berschrift3">
    <w:name w:val="heading 3"/>
    <w:basedOn w:val="Standard"/>
    <w:next w:val="Standard"/>
    <w:link w:val="berschrift3Zchn"/>
    <w:uiPriority w:val="9"/>
    <w:semiHidden/>
    <w:unhideWhenUsed/>
    <w:qFormat/>
    <w:rsid w:val="00C621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harCharChar1CharCharCharCharZchnChar1Zchn1Char">
    <w:name w:val="Char Char Char1 Char Char Char Char Zchn Char1 Zchn1 Char"/>
    <w:aliases w:val="Char Char Char1 Char Char Zchn Zchn Char1 Zchn Zchn1 Char"/>
    <w:basedOn w:val="Standard"/>
    <w:rsid w:val="00C609DE"/>
    <w:pPr>
      <w:spacing w:after="0" w:line="240" w:lineRule="auto"/>
    </w:pPr>
    <w:rPr>
      <w:rFonts w:ascii="Times New Roman" w:eastAsia="Times New Roman" w:hAnsi="Times New Roman" w:cs="Times New Roman"/>
      <w:sz w:val="24"/>
      <w:szCs w:val="24"/>
      <w:lang w:val="pl-PL" w:eastAsia="pl-PL"/>
    </w:rPr>
  </w:style>
  <w:style w:type="paragraph" w:customStyle="1" w:styleId="BodyTextDRCN">
    <w:name w:val="Body Text DRCN"/>
    <w:basedOn w:val="Standard"/>
    <w:rsid w:val="002F24BD"/>
    <w:pPr>
      <w:spacing w:after="60" w:line="240" w:lineRule="auto"/>
      <w:ind w:firstLine="187"/>
      <w:jc w:val="both"/>
    </w:pPr>
    <w:rPr>
      <w:rFonts w:ascii="Times New Roman" w:eastAsia="Times New Roman" w:hAnsi="Times New Roman" w:cs="Times New Roman"/>
      <w:sz w:val="20"/>
      <w:szCs w:val="24"/>
      <w:lang w:val="en-CA" w:eastAsia="ar-SA"/>
    </w:rPr>
  </w:style>
  <w:style w:type="paragraph" w:customStyle="1" w:styleId="AbstractText">
    <w:name w:val="Abstract Text"/>
    <w:next w:val="Standard"/>
    <w:rsid w:val="002F24BD"/>
    <w:pPr>
      <w:widowControl w:val="0"/>
      <w:spacing w:before="240" w:after="0" w:line="240" w:lineRule="auto"/>
      <w:jc w:val="both"/>
      <w:outlineLvl w:val="1"/>
    </w:pPr>
    <w:rPr>
      <w:rFonts w:ascii="Times New Roman" w:eastAsia="Times New Roman" w:hAnsi="Times New Roman" w:cs="Times New Roman"/>
      <w:sz w:val="20"/>
      <w:szCs w:val="20"/>
      <w:lang w:val="en-GB"/>
    </w:rPr>
  </w:style>
  <w:style w:type="paragraph" w:styleId="Sprechblasentext">
    <w:name w:val="Balloon Text"/>
    <w:basedOn w:val="Standard"/>
    <w:link w:val="SprechblasentextZchn"/>
    <w:uiPriority w:val="99"/>
    <w:semiHidden/>
    <w:unhideWhenUsed/>
    <w:rsid w:val="002F24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24BD"/>
    <w:rPr>
      <w:rFonts w:ascii="Tahoma" w:hAnsi="Tahoma" w:cs="Tahoma"/>
      <w:sz w:val="16"/>
      <w:szCs w:val="16"/>
      <w:lang w:val="de-AT"/>
    </w:rPr>
  </w:style>
  <w:style w:type="character" w:customStyle="1" w:styleId="berschrift2Zchn">
    <w:name w:val="Überschrift 2 Zchn"/>
    <w:basedOn w:val="Absatz-Standardschriftart"/>
    <w:link w:val="berschrift2"/>
    <w:rsid w:val="001F237E"/>
    <w:rPr>
      <w:rFonts w:ascii="Arial" w:eastAsia="Times New Roman" w:hAnsi="Arial" w:cs="Times New Roman"/>
      <w:b/>
      <w:i/>
      <w:szCs w:val="20"/>
      <w:lang w:val="en-GB"/>
    </w:rPr>
  </w:style>
  <w:style w:type="character" w:customStyle="1" w:styleId="berschrift1Zchn">
    <w:name w:val="Überschrift 1 Zchn"/>
    <w:basedOn w:val="Absatz-Standardschriftart"/>
    <w:link w:val="berschrift1"/>
    <w:uiPriority w:val="9"/>
    <w:rsid w:val="00C62129"/>
    <w:rPr>
      <w:rFonts w:asciiTheme="majorHAnsi" w:eastAsiaTheme="majorEastAsia" w:hAnsiTheme="majorHAnsi" w:cstheme="majorBidi"/>
      <w:b/>
      <w:bCs/>
      <w:color w:val="365F91" w:themeColor="accent1" w:themeShade="BF"/>
      <w:sz w:val="28"/>
      <w:szCs w:val="28"/>
      <w:lang w:val="de-AT"/>
    </w:rPr>
  </w:style>
  <w:style w:type="character" w:customStyle="1" w:styleId="berschrift3Zchn">
    <w:name w:val="Überschrift 3 Zchn"/>
    <w:basedOn w:val="Absatz-Standardschriftart"/>
    <w:link w:val="berschrift3"/>
    <w:uiPriority w:val="9"/>
    <w:semiHidden/>
    <w:rsid w:val="00C62129"/>
    <w:rPr>
      <w:rFonts w:asciiTheme="majorHAnsi" w:eastAsiaTheme="majorEastAsia" w:hAnsiTheme="majorHAnsi" w:cstheme="majorBidi"/>
      <w:b/>
      <w:bCs/>
      <w:color w:val="4F81BD" w:themeColor="accent1"/>
      <w:lang w:val="de-AT"/>
    </w:rPr>
  </w:style>
  <w:style w:type="paragraph" w:styleId="Textkrper">
    <w:name w:val="Body Text"/>
    <w:basedOn w:val="Standard"/>
    <w:link w:val="TextkrperZchn"/>
    <w:rsid w:val="00C62129"/>
    <w:pPr>
      <w:spacing w:after="0" w:line="240" w:lineRule="auto"/>
    </w:pPr>
    <w:rPr>
      <w:rFonts w:ascii="Times New Roman" w:eastAsia="Times New Roman" w:hAnsi="Times New Roman" w:cs="Times New Roman"/>
      <w:szCs w:val="20"/>
      <w:lang w:val="en-GB"/>
    </w:rPr>
  </w:style>
  <w:style w:type="character" w:customStyle="1" w:styleId="TextkrperZchn">
    <w:name w:val="Textkörper Zchn"/>
    <w:basedOn w:val="Absatz-Standardschriftart"/>
    <w:link w:val="Textkrper"/>
    <w:rsid w:val="00C62129"/>
    <w:rPr>
      <w:rFonts w:ascii="Times New Roman" w:eastAsia="Times New Roman" w:hAnsi="Times New Roman" w:cs="Times New Roman"/>
      <w:szCs w:val="20"/>
      <w:lang w:val="en-GB"/>
    </w:rPr>
  </w:style>
  <w:style w:type="character" w:styleId="Hyperlink">
    <w:name w:val="Hyperlink"/>
    <w:basedOn w:val="Absatz-Standardschriftart"/>
    <w:uiPriority w:val="99"/>
    <w:unhideWhenUsed/>
    <w:rsid w:val="00430D5A"/>
    <w:rPr>
      <w:color w:val="0000FF" w:themeColor="hyperlink"/>
      <w:u w:val="single"/>
    </w:rPr>
  </w:style>
  <w:style w:type="table" w:styleId="Tabellenraster">
    <w:name w:val="Table Grid"/>
    <w:basedOn w:val="NormaleTabelle"/>
    <w:uiPriority w:val="59"/>
    <w:rsid w:val="00752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rsid w:val="004732B9"/>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paragraph" w:styleId="Listenabsatz">
    <w:name w:val="List Paragraph"/>
    <w:basedOn w:val="Standard"/>
    <w:uiPriority w:val="34"/>
    <w:qFormat/>
    <w:rsid w:val="004732B9"/>
    <w:pPr>
      <w:spacing w:before="60" w:after="60" w:line="240" w:lineRule="auto"/>
      <w:ind w:left="720"/>
      <w:contextualSpacing/>
    </w:pPr>
    <w:rPr>
      <w:rFonts w:ascii="Times New Roman" w:eastAsia="Times New Roman" w:hAnsi="Times New Roman" w:cs="Times New Roman"/>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as@eeg.tuwien.ac.a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4603</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 Wien - Campusversion</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Reinhard</dc:creator>
  <cp:lastModifiedBy>haas</cp:lastModifiedBy>
  <cp:revision>5</cp:revision>
  <cp:lastPrinted>2014-12-19T15:57:00Z</cp:lastPrinted>
  <dcterms:created xsi:type="dcterms:W3CDTF">2014-12-19T18:18:00Z</dcterms:created>
  <dcterms:modified xsi:type="dcterms:W3CDTF">2014-12-19T19:20:00Z</dcterms:modified>
</cp:coreProperties>
</file>