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7F" w:rsidRPr="003A527F" w:rsidRDefault="003A527F" w:rsidP="009C09E7">
      <w:pPr>
        <w:spacing w:line="360" w:lineRule="auto"/>
        <w:jc w:val="center"/>
        <w:rPr>
          <w:rFonts w:eastAsiaTheme="majorEastAsia" w:cstheme="majorBidi"/>
          <w:b/>
          <w:bCs/>
          <w:sz w:val="26"/>
          <w:szCs w:val="26"/>
        </w:rPr>
      </w:pPr>
      <w:r w:rsidRPr="003A527F">
        <w:rPr>
          <w:rFonts w:eastAsiaTheme="majorEastAsia" w:cstheme="majorBidi"/>
          <w:b/>
          <w:bCs/>
          <w:sz w:val="26"/>
          <w:szCs w:val="26"/>
        </w:rPr>
        <w:t>Electricity Reliability, Economic Output and Welfare</w:t>
      </w:r>
      <w:r w:rsidR="006C7459">
        <w:rPr>
          <w:rStyle w:val="FootnoteReference"/>
          <w:rFonts w:eastAsiaTheme="majorEastAsia" w:cstheme="majorBidi"/>
          <w:b/>
          <w:bCs/>
          <w:sz w:val="26"/>
          <w:szCs w:val="26"/>
        </w:rPr>
        <w:footnoteReference w:id="1"/>
      </w:r>
    </w:p>
    <w:p w:rsidR="003A527F" w:rsidRPr="00857E04" w:rsidRDefault="003A527F" w:rsidP="0039050E">
      <w:pPr>
        <w:spacing w:line="360" w:lineRule="auto"/>
        <w:jc w:val="center"/>
        <w:rPr>
          <w:rFonts w:eastAsiaTheme="majorEastAsia" w:cstheme="majorBidi"/>
          <w:bCs/>
          <w:sz w:val="22"/>
        </w:rPr>
      </w:pPr>
      <w:proofErr w:type="spellStart"/>
      <w:r w:rsidRPr="00857E04">
        <w:rPr>
          <w:rFonts w:eastAsiaTheme="majorEastAsia" w:cstheme="majorBidi"/>
          <w:bCs/>
          <w:sz w:val="22"/>
        </w:rPr>
        <w:t>Govinda</w:t>
      </w:r>
      <w:proofErr w:type="spellEnd"/>
      <w:r w:rsidRPr="00857E04">
        <w:rPr>
          <w:rFonts w:eastAsiaTheme="majorEastAsia" w:cstheme="majorBidi"/>
          <w:bCs/>
          <w:sz w:val="22"/>
        </w:rPr>
        <w:t xml:space="preserve"> R. </w:t>
      </w:r>
      <w:proofErr w:type="spellStart"/>
      <w:r w:rsidRPr="00857E04">
        <w:rPr>
          <w:rFonts w:eastAsiaTheme="majorEastAsia" w:cstheme="majorBidi"/>
          <w:bCs/>
          <w:sz w:val="22"/>
        </w:rPr>
        <w:t>Timilsina</w:t>
      </w:r>
      <w:proofErr w:type="spellEnd"/>
      <w:r w:rsidRPr="00857E04">
        <w:rPr>
          <w:rFonts w:eastAsiaTheme="majorEastAsia" w:cstheme="majorBidi"/>
          <w:bCs/>
          <w:sz w:val="22"/>
        </w:rPr>
        <w:t>, Development Research Group, World Bank, Washington, DC</w:t>
      </w:r>
    </w:p>
    <w:p w:rsidR="003A527F" w:rsidRPr="009C09E7" w:rsidRDefault="003A527F" w:rsidP="009C09E7">
      <w:pPr>
        <w:rPr>
          <w:rFonts w:eastAsiaTheme="majorEastAsia" w:cstheme="majorBidi"/>
          <w:bCs/>
          <w:sz w:val="22"/>
        </w:rPr>
      </w:pPr>
      <w:r w:rsidRPr="009C09E7">
        <w:rPr>
          <w:rFonts w:eastAsiaTheme="majorEastAsia" w:cstheme="majorBidi"/>
          <w:b/>
          <w:bCs/>
          <w:sz w:val="22"/>
        </w:rPr>
        <w:t>Introduction</w:t>
      </w:r>
      <w:r w:rsidRPr="009C09E7">
        <w:rPr>
          <w:rFonts w:eastAsiaTheme="majorEastAsia" w:cstheme="majorBidi"/>
          <w:bCs/>
          <w:sz w:val="22"/>
        </w:rPr>
        <w:t xml:space="preserve">: </w:t>
      </w:r>
      <w:r w:rsidR="0064506E">
        <w:rPr>
          <w:rFonts w:eastAsiaTheme="majorEastAsia" w:cstheme="majorBidi"/>
          <w:bCs/>
          <w:sz w:val="22"/>
        </w:rPr>
        <w:t xml:space="preserve">Access to reliable electricity service is one of the key challenges to economic development and welfare in many developing countries. The sources of unreliability include </w:t>
      </w:r>
      <w:r w:rsidR="0056358F">
        <w:rPr>
          <w:rFonts w:eastAsiaTheme="majorEastAsia" w:cstheme="majorBidi"/>
          <w:bCs/>
          <w:sz w:val="22"/>
        </w:rPr>
        <w:t>deficit</w:t>
      </w:r>
      <w:r w:rsidR="0064506E">
        <w:rPr>
          <w:rFonts w:eastAsiaTheme="majorEastAsia" w:cstheme="majorBidi"/>
          <w:bCs/>
          <w:sz w:val="22"/>
        </w:rPr>
        <w:t xml:space="preserve"> of generation, </w:t>
      </w:r>
      <w:r w:rsidR="0056358F">
        <w:rPr>
          <w:rFonts w:eastAsiaTheme="majorEastAsia" w:cstheme="majorBidi"/>
          <w:bCs/>
          <w:sz w:val="22"/>
        </w:rPr>
        <w:t xml:space="preserve">shortage or poor quality of </w:t>
      </w:r>
      <w:r w:rsidR="0064506E">
        <w:rPr>
          <w:rFonts w:eastAsiaTheme="majorEastAsia" w:cstheme="majorBidi"/>
          <w:bCs/>
          <w:sz w:val="22"/>
        </w:rPr>
        <w:t xml:space="preserve">transmission or distribution networks, frequency and magnitudes of natural hazards such as </w:t>
      </w:r>
      <w:r w:rsidR="0056358F">
        <w:rPr>
          <w:rFonts w:eastAsiaTheme="majorEastAsia" w:cstheme="majorBidi"/>
          <w:bCs/>
          <w:sz w:val="22"/>
        </w:rPr>
        <w:t xml:space="preserve">tropical </w:t>
      </w:r>
      <w:r w:rsidR="0064506E">
        <w:rPr>
          <w:rFonts w:eastAsiaTheme="majorEastAsia" w:cstheme="majorBidi"/>
          <w:bCs/>
          <w:sz w:val="22"/>
        </w:rPr>
        <w:t>storms</w:t>
      </w:r>
      <w:r w:rsidR="00F91FBD">
        <w:rPr>
          <w:rFonts w:eastAsiaTheme="majorEastAsia" w:cstheme="majorBidi"/>
          <w:bCs/>
          <w:sz w:val="22"/>
        </w:rPr>
        <w:t xml:space="preserve"> and</w:t>
      </w:r>
      <w:r w:rsidR="0056358F">
        <w:rPr>
          <w:rFonts w:eastAsiaTheme="majorEastAsia" w:cstheme="majorBidi"/>
          <w:bCs/>
          <w:sz w:val="22"/>
        </w:rPr>
        <w:t xml:space="preserve"> snow storms</w:t>
      </w:r>
      <w:r w:rsidR="0064506E">
        <w:rPr>
          <w:rFonts w:eastAsiaTheme="majorEastAsia" w:cstheme="majorBidi"/>
          <w:bCs/>
          <w:sz w:val="22"/>
        </w:rPr>
        <w:t xml:space="preserve">. </w:t>
      </w:r>
      <w:r w:rsidR="0064506E" w:rsidRPr="0064506E">
        <w:rPr>
          <w:rFonts w:eastAsiaTheme="majorEastAsia" w:cstheme="majorBidi"/>
          <w:bCs/>
          <w:sz w:val="22"/>
        </w:rPr>
        <w:t xml:space="preserve">Electricity outages can be classified into two types: unscheduled </w:t>
      </w:r>
      <w:r w:rsidR="00F91FBD">
        <w:rPr>
          <w:rFonts w:eastAsiaTheme="majorEastAsia" w:cstheme="majorBidi"/>
          <w:bCs/>
          <w:sz w:val="22"/>
        </w:rPr>
        <w:t>(</w:t>
      </w:r>
      <w:r w:rsidR="0064506E" w:rsidRPr="0064506E">
        <w:rPr>
          <w:rFonts w:eastAsiaTheme="majorEastAsia" w:cstheme="majorBidi"/>
          <w:bCs/>
          <w:sz w:val="22"/>
        </w:rPr>
        <w:t>or episodic</w:t>
      </w:r>
      <w:r w:rsidR="00F91FBD">
        <w:rPr>
          <w:rFonts w:eastAsiaTheme="majorEastAsia" w:cstheme="majorBidi"/>
          <w:bCs/>
          <w:sz w:val="22"/>
        </w:rPr>
        <w:t>)</w:t>
      </w:r>
      <w:r w:rsidR="0064506E" w:rsidRPr="0064506E">
        <w:rPr>
          <w:rFonts w:eastAsiaTheme="majorEastAsia" w:cstheme="majorBidi"/>
          <w:bCs/>
          <w:sz w:val="22"/>
        </w:rPr>
        <w:t xml:space="preserve"> and scheduled</w:t>
      </w:r>
      <w:r w:rsidR="006E7193">
        <w:rPr>
          <w:rFonts w:eastAsiaTheme="majorEastAsia" w:cstheme="majorBidi"/>
          <w:bCs/>
          <w:sz w:val="22"/>
        </w:rPr>
        <w:t xml:space="preserve"> </w:t>
      </w:r>
      <w:r w:rsidR="006E7193" w:rsidRPr="006E7193">
        <w:rPr>
          <w:rFonts w:eastAsiaTheme="majorEastAsia" w:cstheme="majorBidi"/>
          <w:bCs/>
          <w:sz w:val="22"/>
        </w:rPr>
        <w:t>(or rolling blackouts)</w:t>
      </w:r>
      <w:r w:rsidR="0064506E" w:rsidRPr="0064506E">
        <w:rPr>
          <w:rFonts w:eastAsiaTheme="majorEastAsia" w:cstheme="majorBidi"/>
          <w:bCs/>
          <w:sz w:val="22"/>
        </w:rPr>
        <w:t xml:space="preserve">. </w:t>
      </w:r>
      <w:r w:rsidR="006E7193">
        <w:rPr>
          <w:rFonts w:eastAsiaTheme="majorEastAsia" w:cstheme="majorBidi"/>
          <w:bCs/>
          <w:sz w:val="22"/>
        </w:rPr>
        <w:t>While the former is common in both developed and developing countries, the latter occurs mainly in developing countries in</w:t>
      </w:r>
      <w:r w:rsidR="006E7193" w:rsidRPr="006E7193">
        <w:rPr>
          <w:rFonts w:eastAsiaTheme="majorEastAsia" w:cstheme="majorBidi"/>
          <w:bCs/>
          <w:sz w:val="22"/>
        </w:rPr>
        <w:t xml:space="preserve"> South Asia and Sub-Saharan Africa. </w:t>
      </w:r>
      <w:r w:rsidRPr="009C09E7">
        <w:rPr>
          <w:rFonts w:eastAsiaTheme="majorEastAsia" w:cstheme="majorBidi"/>
          <w:bCs/>
          <w:sz w:val="22"/>
        </w:rPr>
        <w:t>This papers first discusses various types of electricity supply outages including episodic, unscheduled and load shedding and their distribution across different countries. This is followed by discussion of economic costs of power sector outages estimated by existing literature. The paper concludes that policies to enhance reliable supply in electrified areas in developing world are as important as providing access to electricity in not yet electrified areas.</w:t>
      </w:r>
    </w:p>
    <w:p w:rsidR="009C09E7" w:rsidRDefault="003A527F" w:rsidP="009C09E7">
      <w:r w:rsidRPr="009C09E7">
        <w:rPr>
          <w:b/>
          <w:sz w:val="22"/>
        </w:rPr>
        <w:t>Methodology</w:t>
      </w:r>
      <w:r w:rsidR="009C09E7" w:rsidRPr="009C09E7">
        <w:rPr>
          <w:b/>
          <w:sz w:val="22"/>
        </w:rPr>
        <w:t xml:space="preserve"> and Data</w:t>
      </w:r>
      <w:r w:rsidR="009364CB" w:rsidRPr="009C09E7">
        <w:rPr>
          <w:sz w:val="22"/>
        </w:rPr>
        <w:t xml:space="preserve">: The study critically reviews existing literature on </w:t>
      </w:r>
      <w:r w:rsidR="009C09E7" w:rsidRPr="009C09E7">
        <w:rPr>
          <w:sz w:val="22"/>
        </w:rPr>
        <w:t>economic costs of</w:t>
      </w:r>
      <w:r w:rsidR="009364CB" w:rsidRPr="009C09E7">
        <w:rPr>
          <w:sz w:val="22"/>
        </w:rPr>
        <w:t xml:space="preserve"> </w:t>
      </w:r>
      <w:r w:rsidR="008C630F" w:rsidRPr="009C09E7">
        <w:rPr>
          <w:sz w:val="22"/>
        </w:rPr>
        <w:t xml:space="preserve">unscheduled/episodic outages and chronic load shedding (or rolling blackouts). Data on </w:t>
      </w:r>
      <w:r w:rsidR="009C09E7" w:rsidRPr="009C09E7">
        <w:rPr>
          <w:sz w:val="22"/>
        </w:rPr>
        <w:t xml:space="preserve">unscheduled/episodic </w:t>
      </w:r>
      <w:r w:rsidR="008C630F" w:rsidRPr="009C09E7">
        <w:rPr>
          <w:sz w:val="22"/>
        </w:rPr>
        <w:t xml:space="preserve">electricity outages are collected through </w:t>
      </w:r>
      <w:r w:rsidR="009C09E7" w:rsidRPr="009C09E7">
        <w:rPr>
          <w:sz w:val="22"/>
        </w:rPr>
        <w:t>the</w:t>
      </w:r>
      <w:r w:rsidR="008C630F" w:rsidRPr="009C09E7">
        <w:rPr>
          <w:sz w:val="22"/>
        </w:rPr>
        <w:t xml:space="preserve"> </w:t>
      </w:r>
      <w:r w:rsidR="009C09E7" w:rsidRPr="009C09E7">
        <w:rPr>
          <w:sz w:val="22"/>
        </w:rPr>
        <w:t>World Bank’s</w:t>
      </w:r>
      <w:r w:rsidR="008C630F" w:rsidRPr="009C09E7">
        <w:rPr>
          <w:sz w:val="22"/>
        </w:rPr>
        <w:t xml:space="preserve"> </w:t>
      </w:r>
      <w:r w:rsidR="009C09E7" w:rsidRPr="009C09E7">
        <w:rPr>
          <w:sz w:val="22"/>
        </w:rPr>
        <w:t>‘Enterprise Survey’. The enterprise survey is a firm-level survey of a representative sample of a wide range of private sector establishments. Since 2002, the World Bank has collected data on electricity outages through face-to-face interviews with top managers and business owners in over 130,000 companies in 135 economies. Data on load shedding (or rolling blackouts) are collected from annual reports of electric utilities and other relevant documents available from countries suffering with load shedding.</w:t>
      </w:r>
      <w:r w:rsidR="009C09E7">
        <w:t xml:space="preserve"> </w:t>
      </w:r>
    </w:p>
    <w:p w:rsidR="009C6D96" w:rsidRPr="00C63786" w:rsidRDefault="001F7452" w:rsidP="007E2613">
      <w:pPr>
        <w:rPr>
          <w:rFonts w:cs="Times New Roman"/>
          <w:sz w:val="22"/>
        </w:rPr>
      </w:pPr>
      <w:r w:rsidRPr="00C63786">
        <w:rPr>
          <w:b/>
          <w:sz w:val="22"/>
        </w:rPr>
        <w:t>Results</w:t>
      </w:r>
      <w:r w:rsidR="00CF5F60" w:rsidRPr="00C63786">
        <w:rPr>
          <w:b/>
          <w:sz w:val="22"/>
        </w:rPr>
        <w:t xml:space="preserve">: </w:t>
      </w:r>
      <w:r w:rsidRPr="00C63786">
        <w:rPr>
          <w:sz w:val="22"/>
        </w:rPr>
        <w:t xml:space="preserve">Between 1964 and 2005, there occurred </w:t>
      </w:r>
      <w:r w:rsidR="009C6D96" w:rsidRPr="00C63786">
        <w:rPr>
          <w:sz w:val="22"/>
        </w:rPr>
        <w:t xml:space="preserve">17 major power outages or blackouts </w:t>
      </w:r>
      <w:r w:rsidRPr="00C63786">
        <w:rPr>
          <w:sz w:val="22"/>
        </w:rPr>
        <w:t xml:space="preserve">in the </w:t>
      </w:r>
      <w:r w:rsidR="009C6D96" w:rsidRPr="00C63786">
        <w:rPr>
          <w:sz w:val="22"/>
        </w:rPr>
        <w:t xml:space="preserve">affecting more than 195 million residential, commercial, and industrial customers in the United States, a developed country where electricity system is considered as one of the most reliable systems around the world (Amin 2005). </w:t>
      </w:r>
      <w:r w:rsidRPr="00C63786">
        <w:rPr>
          <w:sz w:val="22"/>
        </w:rPr>
        <w:t xml:space="preserve">Fifteen </w:t>
      </w:r>
      <w:r w:rsidR="009C6D96" w:rsidRPr="00C63786">
        <w:rPr>
          <w:color w:val="000000" w:themeColor="text1"/>
          <w:sz w:val="22"/>
        </w:rPr>
        <w:t>major global blackouts over the past few decades that have affected 1.28 billion people</w:t>
      </w:r>
      <w:r w:rsidRPr="00C63786">
        <w:rPr>
          <w:color w:val="000000" w:themeColor="text1"/>
          <w:sz w:val="22"/>
        </w:rPr>
        <w:t xml:space="preserve"> around the world (</w:t>
      </w:r>
      <w:proofErr w:type="spellStart"/>
      <w:r w:rsidR="009C6D96" w:rsidRPr="00C63786">
        <w:rPr>
          <w:sz w:val="22"/>
        </w:rPr>
        <w:t>Sovacool</w:t>
      </w:r>
      <w:proofErr w:type="spellEnd"/>
      <w:r w:rsidR="009C6D96" w:rsidRPr="00C63786">
        <w:rPr>
          <w:sz w:val="22"/>
        </w:rPr>
        <w:t xml:space="preserve"> and </w:t>
      </w:r>
      <w:proofErr w:type="spellStart"/>
      <w:r w:rsidR="009C6D96" w:rsidRPr="00C63786">
        <w:rPr>
          <w:sz w:val="22"/>
        </w:rPr>
        <w:t>Dworkin</w:t>
      </w:r>
      <w:proofErr w:type="spellEnd"/>
      <w:r w:rsidR="009C6D96" w:rsidRPr="00C63786">
        <w:rPr>
          <w:sz w:val="22"/>
        </w:rPr>
        <w:t xml:space="preserve"> 2014</w:t>
      </w:r>
      <w:r w:rsidRPr="00C63786">
        <w:rPr>
          <w:sz w:val="22"/>
        </w:rPr>
        <w:t>)</w:t>
      </w:r>
      <w:r w:rsidR="009C6D96" w:rsidRPr="00C63786">
        <w:rPr>
          <w:sz w:val="22"/>
        </w:rPr>
        <w:t xml:space="preserve">. </w:t>
      </w:r>
      <w:r w:rsidRPr="00C63786">
        <w:rPr>
          <w:sz w:val="22"/>
        </w:rPr>
        <w:t xml:space="preserve">Based on the data collected by the World Bank’s enterprises survey, we find </w:t>
      </w:r>
      <w:r w:rsidR="009C6D96" w:rsidRPr="00C63786">
        <w:rPr>
          <w:rFonts w:cs="Times New Roman"/>
          <w:sz w:val="22"/>
        </w:rPr>
        <w:t xml:space="preserve">that Middle East and North Africa (MENA) region which has almost 100% electrification rate suffers the highest number of power outages. </w:t>
      </w:r>
      <w:r w:rsidRPr="00C63786">
        <w:rPr>
          <w:rFonts w:cs="Times New Roman"/>
          <w:sz w:val="22"/>
        </w:rPr>
        <w:t xml:space="preserve">At the country level, </w:t>
      </w:r>
      <w:r w:rsidR="009C6D96" w:rsidRPr="00C63786">
        <w:rPr>
          <w:rFonts w:cs="Times New Roman"/>
          <w:sz w:val="22"/>
        </w:rPr>
        <w:t>Bangladesh tops all countries in terms of outage frequencies</w:t>
      </w:r>
      <w:r w:rsidRPr="00C63786">
        <w:rPr>
          <w:rFonts w:cs="Times New Roman"/>
          <w:sz w:val="22"/>
        </w:rPr>
        <w:t xml:space="preserve"> with more than 60</w:t>
      </w:r>
      <w:r w:rsidR="009C6D96" w:rsidRPr="00C63786">
        <w:rPr>
          <w:rFonts w:cs="Times New Roman"/>
          <w:sz w:val="22"/>
        </w:rPr>
        <w:t xml:space="preserve"> electricity </w:t>
      </w:r>
      <w:r w:rsidR="00457BE6" w:rsidRPr="00C63786">
        <w:rPr>
          <w:rFonts w:cs="Times New Roman"/>
          <w:sz w:val="22"/>
        </w:rPr>
        <w:t xml:space="preserve">outages </w:t>
      </w:r>
      <w:r w:rsidR="009C6D96" w:rsidRPr="00C63786">
        <w:rPr>
          <w:rFonts w:cs="Times New Roman"/>
          <w:sz w:val="22"/>
        </w:rPr>
        <w:t xml:space="preserve">in a typical month. Other countries with high frequency of power outages (20 times in a typical month) include Yemen, Lebanon, Iraq, Pakistan, Guinea, Central African Republic, Nigeria, Democratic Republic of Congo and Nigeria). Most of these countries are currently undergoing through civil wars or political conflicts. In Iraq, when power supply gets interrupted, it lasts more than 50 hours.  </w:t>
      </w:r>
    </w:p>
    <w:p w:rsidR="009C6D96" w:rsidRPr="00C63786" w:rsidRDefault="009C6D96" w:rsidP="007E2613">
      <w:pPr>
        <w:ind w:firstLine="720"/>
        <w:rPr>
          <w:rFonts w:cs="Times New Roman"/>
          <w:sz w:val="22"/>
        </w:rPr>
      </w:pPr>
      <w:r w:rsidRPr="00C63786">
        <w:rPr>
          <w:rFonts w:cs="Times New Roman"/>
          <w:sz w:val="22"/>
        </w:rPr>
        <w:t xml:space="preserve">Many countries especially in South Asia and Sub-Saharan Africa are currently suffering with chronic load shedding that causes huge discomfort to households and large economic losses due mainly to </w:t>
      </w:r>
      <w:proofErr w:type="gramStart"/>
      <w:r w:rsidRPr="00C63786">
        <w:rPr>
          <w:rFonts w:cs="Times New Roman"/>
          <w:sz w:val="22"/>
        </w:rPr>
        <w:t>loses</w:t>
      </w:r>
      <w:proofErr w:type="gramEnd"/>
      <w:r w:rsidRPr="00C63786">
        <w:rPr>
          <w:rFonts w:cs="Times New Roman"/>
          <w:sz w:val="22"/>
        </w:rPr>
        <w:t xml:space="preserve"> of industrial production.</w:t>
      </w:r>
      <w:r w:rsidR="00457BE6" w:rsidRPr="00C63786">
        <w:rPr>
          <w:rFonts w:cs="Times New Roman"/>
          <w:sz w:val="22"/>
        </w:rPr>
        <w:t xml:space="preserve"> For example, </w:t>
      </w:r>
      <w:r w:rsidRPr="00C63786">
        <w:rPr>
          <w:rFonts w:cs="Times New Roman"/>
          <w:sz w:val="22"/>
        </w:rPr>
        <w:t xml:space="preserve">some rural areas in India do not get electricity for more than 16 hours a day. In Burundi, Gambia, Nepal, Rwanda, Tanzania and Zimbabwe, load shedding exceeds 16 hours a day in some months.   </w:t>
      </w:r>
    </w:p>
    <w:p w:rsidR="009C6D96" w:rsidRPr="00C63786" w:rsidRDefault="009C6D96" w:rsidP="007E2613">
      <w:pPr>
        <w:ind w:firstLine="720"/>
        <w:rPr>
          <w:rFonts w:cs="Times New Roman"/>
          <w:sz w:val="22"/>
        </w:rPr>
      </w:pPr>
      <w:r w:rsidRPr="00C63786">
        <w:rPr>
          <w:rFonts w:cs="Times New Roman"/>
          <w:sz w:val="22"/>
        </w:rPr>
        <w:t xml:space="preserve">The economic costs of electricity outages vary across countries depending upon the how sensitive their economy on uninterruptible supply of electricity. The cost estimates also vary across the methodologies used for the assessment. </w:t>
      </w:r>
      <w:r w:rsidR="00CF5F60" w:rsidRPr="00C63786">
        <w:rPr>
          <w:rFonts w:cs="Times New Roman"/>
          <w:sz w:val="22"/>
        </w:rPr>
        <w:t xml:space="preserve">Several studies compare the costs of power outages with electricity supply costs to indicate the economic rationale to avoid the outages (e.g., </w:t>
      </w:r>
      <w:proofErr w:type="spellStart"/>
      <w:r w:rsidR="00CF5F60" w:rsidRPr="00C63786">
        <w:rPr>
          <w:rFonts w:cs="Times New Roman"/>
          <w:sz w:val="22"/>
        </w:rPr>
        <w:t>Adenikinju</w:t>
      </w:r>
      <w:proofErr w:type="spellEnd"/>
      <w:r w:rsidR="00CF5F60" w:rsidRPr="00C63786">
        <w:rPr>
          <w:rFonts w:cs="Times New Roman"/>
          <w:sz w:val="22"/>
        </w:rPr>
        <w:t xml:space="preserve">, 2005; </w:t>
      </w:r>
      <w:proofErr w:type="spellStart"/>
      <w:r w:rsidR="00CF5F60" w:rsidRPr="00C63786">
        <w:rPr>
          <w:rFonts w:cs="Times New Roman"/>
          <w:sz w:val="22"/>
        </w:rPr>
        <w:t>Jyoti</w:t>
      </w:r>
      <w:proofErr w:type="spellEnd"/>
      <w:r w:rsidR="00CF5F60" w:rsidRPr="00C63786">
        <w:rPr>
          <w:rFonts w:cs="Times New Roman"/>
          <w:sz w:val="22"/>
        </w:rPr>
        <w:t xml:space="preserve"> et al. 2006; Abdullah and Mariel, 2010). </w:t>
      </w:r>
      <w:r w:rsidRPr="00C63786">
        <w:rPr>
          <w:rFonts w:cs="Times New Roman"/>
          <w:sz w:val="22"/>
        </w:rPr>
        <w:t xml:space="preserve">For example, </w:t>
      </w:r>
      <w:bookmarkStart w:id="0" w:name="_GoBack"/>
      <w:r w:rsidRPr="00C63786">
        <w:rPr>
          <w:rFonts w:cs="Times New Roman"/>
          <w:sz w:val="22"/>
        </w:rPr>
        <w:t xml:space="preserve">de </w:t>
      </w:r>
      <w:proofErr w:type="spellStart"/>
      <w:r w:rsidRPr="00C63786">
        <w:rPr>
          <w:rFonts w:cs="Times New Roman"/>
          <w:sz w:val="22"/>
        </w:rPr>
        <w:t>Nooij</w:t>
      </w:r>
      <w:proofErr w:type="spellEnd"/>
      <w:r w:rsidRPr="00C63786">
        <w:rPr>
          <w:rFonts w:cs="Times New Roman"/>
          <w:sz w:val="22"/>
        </w:rPr>
        <w:t xml:space="preserve"> et al. (2007) </w:t>
      </w:r>
      <w:bookmarkEnd w:id="0"/>
      <w:r w:rsidRPr="00C63786">
        <w:rPr>
          <w:rFonts w:cs="Times New Roman"/>
          <w:sz w:val="22"/>
        </w:rPr>
        <w:t xml:space="preserve">estimates that a one-hour daytime electricity supply interruption in Netherlands on a weekday would cause damages of worth </w:t>
      </w:r>
      <w:r w:rsidRPr="00C63786">
        <w:rPr>
          <w:rFonts w:cs="Times New Roman"/>
          <w:sz w:val="22"/>
        </w:rPr>
        <w:lastRenderedPageBreak/>
        <w:t xml:space="preserve">€120 million for firms and the government (lost value added) and of €37 million for households (lost leisure/welfare).  The </w:t>
      </w:r>
      <w:r w:rsidR="00CF5F60" w:rsidRPr="00C63786">
        <w:rPr>
          <w:rFonts w:cs="Times New Roman"/>
          <w:sz w:val="22"/>
        </w:rPr>
        <w:t xml:space="preserve">USDOE </w:t>
      </w:r>
      <w:r w:rsidRPr="00C63786">
        <w:rPr>
          <w:rFonts w:cs="Times New Roman"/>
          <w:sz w:val="22"/>
        </w:rPr>
        <w:t>estimates that power outages and power quality disturbances cost customers as $150 to $400 billion annually (</w:t>
      </w:r>
      <w:proofErr w:type="spellStart"/>
      <w:r w:rsidRPr="00C63786">
        <w:rPr>
          <w:rFonts w:cs="Times New Roman"/>
          <w:sz w:val="22"/>
        </w:rPr>
        <w:t>Swaminathan</w:t>
      </w:r>
      <w:proofErr w:type="spellEnd"/>
      <w:r w:rsidRPr="00C63786">
        <w:rPr>
          <w:rFonts w:cs="Times New Roman"/>
          <w:sz w:val="22"/>
        </w:rPr>
        <w:t xml:space="preserve"> and Sen 1998). </w:t>
      </w:r>
      <w:proofErr w:type="gramStart"/>
      <w:r w:rsidRPr="00C63786">
        <w:rPr>
          <w:rFonts w:cs="Times New Roman"/>
          <w:sz w:val="22"/>
        </w:rPr>
        <w:t xml:space="preserve">Based on survey of 400 residential consumers, </w:t>
      </w:r>
      <w:proofErr w:type="spellStart"/>
      <w:r w:rsidRPr="00C63786">
        <w:rPr>
          <w:rFonts w:cs="Times New Roman"/>
          <w:sz w:val="22"/>
        </w:rPr>
        <w:t>Akter</w:t>
      </w:r>
      <w:proofErr w:type="spellEnd"/>
      <w:r w:rsidRPr="00C63786">
        <w:rPr>
          <w:rFonts w:cs="Times New Roman"/>
          <w:sz w:val="22"/>
        </w:rPr>
        <w:t xml:space="preserve"> (2008) estimates that power outages cause US$4.2 million economic loss in the residential sector alone in Dhaka, Bangladesh.</w:t>
      </w:r>
      <w:proofErr w:type="gramEnd"/>
      <w:r w:rsidRPr="00C63786">
        <w:rPr>
          <w:rFonts w:cs="Times New Roman"/>
          <w:sz w:val="22"/>
        </w:rPr>
        <w:t xml:space="preserve"> The costs of electricity outages would be many folds higher compared to the average price of electricity supplied by a system thereby presenting a strong economic case of investment on enhancing power system reliability. The estimates of economic costs of rolling black out or load shedding are limited. However, there are ample evidence on how load shedding constraint economic growth and welfare loss. The WBG’ enterprise survey</w:t>
      </w:r>
      <w:r w:rsidR="007E2613" w:rsidRPr="00C63786">
        <w:rPr>
          <w:rFonts w:cs="Times New Roman"/>
          <w:sz w:val="22"/>
        </w:rPr>
        <w:t xml:space="preserve"> </w:t>
      </w:r>
      <w:r w:rsidRPr="00C63786">
        <w:rPr>
          <w:rFonts w:cs="Times New Roman"/>
          <w:sz w:val="22"/>
        </w:rPr>
        <w:t>points out that lack of reliable electricity supply is one of the most important barriers to do business for small and medium size enterprises in developing world (IFC, 2013).</w:t>
      </w:r>
    </w:p>
    <w:p w:rsidR="009C6D96" w:rsidRPr="00C63786" w:rsidRDefault="009C6D96" w:rsidP="00C63786">
      <w:pPr>
        <w:ind w:firstLine="720"/>
        <w:rPr>
          <w:rFonts w:cs="Times New Roman"/>
          <w:sz w:val="22"/>
        </w:rPr>
      </w:pPr>
      <w:r w:rsidRPr="00C63786">
        <w:rPr>
          <w:rFonts w:cs="Times New Roman"/>
          <w:b/>
          <w:sz w:val="22"/>
        </w:rPr>
        <w:t>Conclusions</w:t>
      </w:r>
      <w:r w:rsidR="008568C1" w:rsidRPr="00C63786">
        <w:rPr>
          <w:rFonts w:cs="Times New Roman"/>
          <w:b/>
          <w:sz w:val="22"/>
        </w:rPr>
        <w:t xml:space="preserve">: </w:t>
      </w:r>
      <w:r w:rsidR="00C63786" w:rsidRPr="00C63786">
        <w:rPr>
          <w:rFonts w:cs="Times New Roman"/>
          <w:sz w:val="22"/>
        </w:rPr>
        <w:t>P</w:t>
      </w:r>
      <w:r w:rsidRPr="00C63786">
        <w:rPr>
          <w:rFonts w:cs="Times New Roman"/>
          <w:sz w:val="22"/>
        </w:rPr>
        <w:t xml:space="preserve">oor quality of </w:t>
      </w:r>
      <w:r w:rsidR="00C63786" w:rsidRPr="00C63786">
        <w:rPr>
          <w:rFonts w:cs="Times New Roman"/>
          <w:sz w:val="22"/>
        </w:rPr>
        <w:t xml:space="preserve">electricity </w:t>
      </w:r>
      <w:r w:rsidRPr="00C63786">
        <w:rPr>
          <w:rFonts w:cs="Times New Roman"/>
          <w:sz w:val="22"/>
        </w:rPr>
        <w:t>supply</w:t>
      </w:r>
      <w:r w:rsidR="00C63786" w:rsidRPr="00C63786">
        <w:rPr>
          <w:rFonts w:cs="Times New Roman"/>
          <w:sz w:val="22"/>
        </w:rPr>
        <w:t xml:space="preserve"> </w:t>
      </w:r>
      <w:r w:rsidRPr="00C63786">
        <w:rPr>
          <w:rFonts w:cs="Times New Roman"/>
          <w:sz w:val="22"/>
        </w:rPr>
        <w:t>is a big challenge to get reliable electricity services. Electricity consumers in many developing countries in Sub-Saharan Africa and South Asia (e.g., Burundi, Gambia, Nepal, Rwanda, Tanzania and Zimbabwe) do not get electricity services more than 15 hours a day despite the fact that they have been already connected to distribution networks. Such long hours of electricity outages or load shedding becoming a primary bottleneck to their economic development and welfare</w:t>
      </w:r>
      <w:r w:rsidR="00C63786" w:rsidRPr="00C63786">
        <w:rPr>
          <w:rFonts w:cs="Times New Roman"/>
          <w:sz w:val="22"/>
        </w:rPr>
        <w:t xml:space="preserve">. </w:t>
      </w:r>
      <w:r w:rsidRPr="00C63786">
        <w:rPr>
          <w:rFonts w:cs="Times New Roman"/>
          <w:sz w:val="22"/>
        </w:rPr>
        <w:t xml:space="preserve">Besides, Middle East and North Africa region where the electrification rate is almost 100%, are suffering with very high frequency of unscheduled electricity outages. The economic costs of unscheduled electricity outages are many folds higher than loss of electricity sale loss. Energy policies targeting on the accessibility will not be successful to provide quality energy services unless </w:t>
      </w:r>
      <w:proofErr w:type="gramStart"/>
      <w:r w:rsidRPr="00C63786">
        <w:rPr>
          <w:rFonts w:cs="Times New Roman"/>
          <w:sz w:val="22"/>
        </w:rPr>
        <w:t>reliability</w:t>
      </w:r>
      <w:proofErr w:type="gramEnd"/>
      <w:r w:rsidRPr="00C63786">
        <w:rPr>
          <w:rFonts w:cs="Times New Roman"/>
          <w:sz w:val="22"/>
        </w:rPr>
        <w:t xml:space="preserve"> of the energy supply system is improved at the same time.   </w:t>
      </w:r>
    </w:p>
    <w:p w:rsidR="00045175" w:rsidRPr="00F621BB" w:rsidRDefault="00C63786">
      <w:pPr>
        <w:rPr>
          <w:b/>
          <w:sz w:val="22"/>
        </w:rPr>
      </w:pPr>
      <w:r w:rsidRPr="00F621BB">
        <w:rPr>
          <w:b/>
          <w:sz w:val="22"/>
        </w:rPr>
        <w:t>References</w:t>
      </w:r>
    </w:p>
    <w:p w:rsidR="00C028A0" w:rsidRDefault="00C028A0" w:rsidP="00C028A0">
      <w:pPr>
        <w:ind w:left="720" w:hanging="720"/>
        <w:rPr>
          <w:sz w:val="22"/>
        </w:rPr>
      </w:pPr>
      <w:r w:rsidRPr="0053475B">
        <w:rPr>
          <w:sz w:val="22"/>
        </w:rPr>
        <w:t xml:space="preserve">Abdullah, Sabah and Petr Mariel (2010), Choice </w:t>
      </w:r>
      <w:proofErr w:type="gramStart"/>
      <w:r w:rsidRPr="0053475B">
        <w:rPr>
          <w:sz w:val="22"/>
        </w:rPr>
        <w:t>experiment study</w:t>
      </w:r>
      <w:proofErr w:type="gramEnd"/>
      <w:r w:rsidRPr="0053475B">
        <w:rPr>
          <w:sz w:val="22"/>
        </w:rPr>
        <w:t xml:space="preserve"> on the willingness to pay to improve electricity services, Energy Policy, Vol.38, pp. 4570–4581.</w:t>
      </w:r>
    </w:p>
    <w:p w:rsidR="00C028A0" w:rsidRDefault="00C028A0" w:rsidP="00C028A0">
      <w:pPr>
        <w:ind w:left="720" w:hanging="720"/>
        <w:rPr>
          <w:sz w:val="22"/>
        </w:rPr>
      </w:pPr>
      <w:proofErr w:type="spellStart"/>
      <w:r>
        <w:rPr>
          <w:sz w:val="22"/>
        </w:rPr>
        <w:t>Adenikinju</w:t>
      </w:r>
      <w:proofErr w:type="spellEnd"/>
      <w:r>
        <w:rPr>
          <w:sz w:val="22"/>
        </w:rPr>
        <w:t xml:space="preserve">, </w:t>
      </w:r>
      <w:proofErr w:type="spellStart"/>
      <w:r>
        <w:rPr>
          <w:sz w:val="22"/>
        </w:rPr>
        <w:t>Adeola</w:t>
      </w:r>
      <w:proofErr w:type="spellEnd"/>
      <w:r w:rsidRPr="0053475B">
        <w:rPr>
          <w:sz w:val="22"/>
        </w:rPr>
        <w:t xml:space="preserve"> (2005), Analysis of the cost of infrastructure failures in a developing economy: The case of the electricity sector in Nigeria, AERC Research Paper 148, African Economic Research Consortium, Nairobi.</w:t>
      </w:r>
    </w:p>
    <w:p w:rsidR="00C028A0" w:rsidRDefault="00C028A0" w:rsidP="00C028A0">
      <w:pPr>
        <w:ind w:left="720" w:hanging="720"/>
        <w:rPr>
          <w:sz w:val="22"/>
        </w:rPr>
      </w:pPr>
      <w:proofErr w:type="spellStart"/>
      <w:r w:rsidRPr="00BB35AB">
        <w:rPr>
          <w:sz w:val="22"/>
        </w:rPr>
        <w:t>Akter</w:t>
      </w:r>
      <w:proofErr w:type="spellEnd"/>
      <w:r w:rsidRPr="00BB35AB">
        <w:rPr>
          <w:sz w:val="22"/>
        </w:rPr>
        <w:t>, Sonia (2008), Understanding the Power Outage Cost of Residential Consumers in the City of Dhaka, South Asian Journal of Management; Vol. 15, No. 1; pp. 64-75.</w:t>
      </w:r>
    </w:p>
    <w:p w:rsidR="00C028A0" w:rsidRDefault="00C028A0" w:rsidP="00C028A0">
      <w:pPr>
        <w:ind w:left="720" w:hanging="720"/>
        <w:rPr>
          <w:sz w:val="22"/>
        </w:rPr>
      </w:pPr>
      <w:r w:rsidRPr="0053475B">
        <w:rPr>
          <w:sz w:val="22"/>
        </w:rPr>
        <w:t xml:space="preserve">Amin, </w:t>
      </w:r>
      <w:proofErr w:type="spellStart"/>
      <w:r w:rsidRPr="0053475B">
        <w:rPr>
          <w:sz w:val="22"/>
        </w:rPr>
        <w:t>Massoud</w:t>
      </w:r>
      <w:proofErr w:type="spellEnd"/>
      <w:r w:rsidRPr="0053475B">
        <w:rPr>
          <w:sz w:val="22"/>
        </w:rPr>
        <w:t xml:space="preserve">. </w:t>
      </w:r>
      <w:r>
        <w:rPr>
          <w:sz w:val="22"/>
        </w:rPr>
        <w:t xml:space="preserve">(2005), </w:t>
      </w:r>
      <w:r w:rsidRPr="0053475B">
        <w:rPr>
          <w:sz w:val="22"/>
        </w:rPr>
        <w:t xml:space="preserve">‘Energy Infrastructure Defense Systems, Proceedings of the IEEE 93, </w:t>
      </w:r>
      <w:r>
        <w:rPr>
          <w:sz w:val="22"/>
        </w:rPr>
        <w:t>N</w:t>
      </w:r>
      <w:r w:rsidRPr="0053475B">
        <w:rPr>
          <w:sz w:val="22"/>
        </w:rPr>
        <w:t>o. 5 (May 2005): 863.</w:t>
      </w:r>
    </w:p>
    <w:p w:rsidR="00C028A0" w:rsidRPr="00C63786" w:rsidRDefault="00C028A0" w:rsidP="00C028A0">
      <w:pPr>
        <w:ind w:left="720" w:hanging="720"/>
        <w:rPr>
          <w:sz w:val="22"/>
        </w:rPr>
      </w:pPr>
      <w:r w:rsidRPr="00F621BB">
        <w:rPr>
          <w:sz w:val="22"/>
        </w:rPr>
        <w:t>International Finance Corporation (2013), Assessing Private Sector Contributions to Job Creation and Poverty Reduction, IFC, Washington, DC.</w:t>
      </w:r>
    </w:p>
    <w:p w:rsidR="00C028A0" w:rsidRDefault="00C028A0" w:rsidP="00C028A0">
      <w:pPr>
        <w:ind w:left="720" w:hanging="720"/>
        <w:rPr>
          <w:sz w:val="22"/>
        </w:rPr>
      </w:pPr>
      <w:proofErr w:type="spellStart"/>
      <w:proofErr w:type="gramStart"/>
      <w:r w:rsidRPr="0053475B">
        <w:rPr>
          <w:sz w:val="22"/>
        </w:rPr>
        <w:t>Jyoti</w:t>
      </w:r>
      <w:proofErr w:type="spellEnd"/>
      <w:r w:rsidRPr="0053475B">
        <w:rPr>
          <w:sz w:val="22"/>
        </w:rPr>
        <w:t xml:space="preserve">, R., </w:t>
      </w:r>
      <w:proofErr w:type="spellStart"/>
      <w:r w:rsidRPr="0053475B">
        <w:rPr>
          <w:sz w:val="22"/>
        </w:rPr>
        <w:t>Ozbafli</w:t>
      </w:r>
      <w:proofErr w:type="spellEnd"/>
      <w:r w:rsidRPr="0053475B">
        <w:rPr>
          <w:sz w:val="22"/>
        </w:rPr>
        <w:t>, A., and Jenkins, G. (2006).</w:t>
      </w:r>
      <w:proofErr w:type="gramEnd"/>
      <w:r w:rsidRPr="0053475B">
        <w:rPr>
          <w:sz w:val="22"/>
        </w:rPr>
        <w:t xml:space="preserve"> </w:t>
      </w:r>
      <w:proofErr w:type="gramStart"/>
      <w:r w:rsidRPr="0053475B">
        <w:rPr>
          <w:sz w:val="22"/>
        </w:rPr>
        <w:t>The Opportunity Cost of Electricity Outages and Privatization of Substations in Nepal.</w:t>
      </w:r>
      <w:proofErr w:type="gramEnd"/>
      <w:r w:rsidRPr="0053475B">
        <w:rPr>
          <w:sz w:val="22"/>
        </w:rPr>
        <w:t xml:space="preserve"> Queen’s Economics Department Working Paper No. 1066, Queen’s University, Canada.</w:t>
      </w:r>
    </w:p>
    <w:p w:rsidR="00C028A0" w:rsidRDefault="00C028A0" w:rsidP="00C028A0">
      <w:pPr>
        <w:ind w:left="720" w:hanging="720"/>
        <w:rPr>
          <w:sz w:val="22"/>
        </w:rPr>
      </w:pPr>
      <w:proofErr w:type="spellStart"/>
      <w:proofErr w:type="gramStart"/>
      <w:r w:rsidRPr="0053475B">
        <w:rPr>
          <w:sz w:val="22"/>
        </w:rPr>
        <w:t>Sovacool</w:t>
      </w:r>
      <w:proofErr w:type="spellEnd"/>
      <w:r w:rsidRPr="0053475B">
        <w:rPr>
          <w:sz w:val="22"/>
        </w:rPr>
        <w:t xml:space="preserve">, BK and MH </w:t>
      </w:r>
      <w:proofErr w:type="spellStart"/>
      <w:r w:rsidRPr="0053475B">
        <w:rPr>
          <w:sz w:val="22"/>
        </w:rPr>
        <w:t>Dworkin</w:t>
      </w:r>
      <w:proofErr w:type="spellEnd"/>
      <w:r>
        <w:rPr>
          <w:sz w:val="22"/>
        </w:rPr>
        <w:t xml:space="preserve"> (2014)</w:t>
      </w:r>
      <w:r w:rsidRPr="0053475B">
        <w:rPr>
          <w:sz w:val="22"/>
        </w:rPr>
        <w:t>.</w:t>
      </w:r>
      <w:proofErr w:type="gramEnd"/>
      <w:r w:rsidRPr="0053475B">
        <w:rPr>
          <w:sz w:val="22"/>
        </w:rPr>
        <w:t xml:space="preserve"> Global Energy Justice: Problems, Principles, and Practices Cambridge University Press.</w:t>
      </w:r>
    </w:p>
    <w:p w:rsidR="00C028A0" w:rsidRDefault="00C028A0" w:rsidP="00C028A0">
      <w:pPr>
        <w:ind w:left="720" w:hanging="720"/>
        <w:rPr>
          <w:sz w:val="22"/>
        </w:rPr>
      </w:pPr>
      <w:proofErr w:type="spellStart"/>
      <w:r w:rsidRPr="00F621BB">
        <w:rPr>
          <w:sz w:val="22"/>
        </w:rPr>
        <w:t>Swaminathan</w:t>
      </w:r>
      <w:proofErr w:type="spellEnd"/>
      <w:r w:rsidRPr="00F621BB">
        <w:rPr>
          <w:sz w:val="22"/>
        </w:rPr>
        <w:t xml:space="preserve"> S, Sen RK. </w:t>
      </w:r>
      <w:r>
        <w:rPr>
          <w:sz w:val="22"/>
        </w:rPr>
        <w:t xml:space="preserve">(1998), </w:t>
      </w:r>
      <w:r w:rsidRPr="00F621BB">
        <w:rPr>
          <w:sz w:val="22"/>
        </w:rPr>
        <w:t xml:space="preserve">Review of power quality applications of energy storage systems. </w:t>
      </w:r>
      <w:r>
        <w:rPr>
          <w:sz w:val="22"/>
        </w:rPr>
        <w:t>R</w:t>
      </w:r>
      <w:r w:rsidRPr="00F621BB">
        <w:rPr>
          <w:sz w:val="22"/>
        </w:rPr>
        <w:t xml:space="preserve">eport </w:t>
      </w:r>
      <w:r>
        <w:rPr>
          <w:sz w:val="22"/>
        </w:rPr>
        <w:t>N</w:t>
      </w:r>
      <w:r w:rsidRPr="00F621BB">
        <w:rPr>
          <w:sz w:val="22"/>
        </w:rPr>
        <w:t xml:space="preserve">o. </w:t>
      </w:r>
      <w:proofErr w:type="gramStart"/>
      <w:r w:rsidRPr="00F621BB">
        <w:rPr>
          <w:sz w:val="22"/>
        </w:rPr>
        <w:t>SAND98-1513.</w:t>
      </w:r>
      <w:proofErr w:type="gramEnd"/>
      <w:r w:rsidRPr="00F621BB">
        <w:rPr>
          <w:sz w:val="22"/>
        </w:rPr>
        <w:t xml:space="preserve"> </w:t>
      </w:r>
      <w:r>
        <w:rPr>
          <w:sz w:val="22"/>
        </w:rPr>
        <w:t>Sandia National Laboratories, United States.</w:t>
      </w:r>
    </w:p>
    <w:sectPr w:rsidR="00C028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D4" w:rsidRDefault="00E672D4" w:rsidP="009C6D96">
      <w:pPr>
        <w:spacing w:after="0"/>
      </w:pPr>
      <w:r>
        <w:separator/>
      </w:r>
    </w:p>
  </w:endnote>
  <w:endnote w:type="continuationSeparator" w:id="0">
    <w:p w:rsidR="00E672D4" w:rsidRDefault="00E672D4" w:rsidP="009C6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D4" w:rsidRDefault="00E672D4" w:rsidP="009C6D96">
      <w:pPr>
        <w:spacing w:after="0"/>
      </w:pPr>
      <w:r>
        <w:separator/>
      </w:r>
    </w:p>
  </w:footnote>
  <w:footnote w:type="continuationSeparator" w:id="0">
    <w:p w:rsidR="00E672D4" w:rsidRDefault="00E672D4" w:rsidP="009C6D96">
      <w:pPr>
        <w:spacing w:after="0"/>
      </w:pPr>
      <w:r>
        <w:continuationSeparator/>
      </w:r>
    </w:p>
  </w:footnote>
  <w:footnote w:id="1">
    <w:p w:rsidR="006C7459" w:rsidRDefault="006C7459">
      <w:pPr>
        <w:pStyle w:val="FootnoteText"/>
      </w:pPr>
      <w:r>
        <w:rPr>
          <w:rStyle w:val="FootnoteReference"/>
        </w:rPr>
        <w:footnoteRef/>
      </w:r>
      <w:r>
        <w:t xml:space="preserve"> This paper will be presented in a special session on ‘Energy, Economic Growth and Poverty Reduction’. The special session has been approved by the organizing committee </w:t>
      </w:r>
      <w:proofErr w:type="gramStart"/>
      <w:r>
        <w:t>of  the</w:t>
      </w:r>
      <w:proofErr w:type="gramEnd"/>
      <w:r>
        <w:t xml:space="preserve"> 38</w:t>
      </w:r>
      <w:r w:rsidRPr="006C7459">
        <w:rPr>
          <w:vertAlign w:val="superscript"/>
        </w:rPr>
        <w:t>th</w:t>
      </w:r>
      <w:r>
        <w:t xml:space="preserve"> International Conference of IAEE.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96"/>
    <w:rsid w:val="0000080B"/>
    <w:rsid w:val="00011C57"/>
    <w:rsid w:val="0002527A"/>
    <w:rsid w:val="00043384"/>
    <w:rsid w:val="00045175"/>
    <w:rsid w:val="00047C0C"/>
    <w:rsid w:val="00052184"/>
    <w:rsid w:val="000771F9"/>
    <w:rsid w:val="000834C3"/>
    <w:rsid w:val="000A734C"/>
    <w:rsid w:val="000B469F"/>
    <w:rsid w:val="000B79A7"/>
    <w:rsid w:val="000C4F77"/>
    <w:rsid w:val="00105CD0"/>
    <w:rsid w:val="00124B9C"/>
    <w:rsid w:val="001348DE"/>
    <w:rsid w:val="001402A2"/>
    <w:rsid w:val="00143AEC"/>
    <w:rsid w:val="001810A3"/>
    <w:rsid w:val="00193A60"/>
    <w:rsid w:val="001C4A49"/>
    <w:rsid w:val="001D4728"/>
    <w:rsid w:val="001E568D"/>
    <w:rsid w:val="001F0DA7"/>
    <w:rsid w:val="001F7452"/>
    <w:rsid w:val="0020350B"/>
    <w:rsid w:val="00214445"/>
    <w:rsid w:val="002325A4"/>
    <w:rsid w:val="00296898"/>
    <w:rsid w:val="002A1CF0"/>
    <w:rsid w:val="002A48B8"/>
    <w:rsid w:val="002B4F39"/>
    <w:rsid w:val="002C48F1"/>
    <w:rsid w:val="0039050E"/>
    <w:rsid w:val="003A527F"/>
    <w:rsid w:val="003B3E42"/>
    <w:rsid w:val="003B4024"/>
    <w:rsid w:val="003B4941"/>
    <w:rsid w:val="003D041A"/>
    <w:rsid w:val="003E491D"/>
    <w:rsid w:val="004044B0"/>
    <w:rsid w:val="004136EA"/>
    <w:rsid w:val="004164C8"/>
    <w:rsid w:val="00421CE7"/>
    <w:rsid w:val="004345CE"/>
    <w:rsid w:val="00455FEA"/>
    <w:rsid w:val="00457BE6"/>
    <w:rsid w:val="00472FA8"/>
    <w:rsid w:val="0048715A"/>
    <w:rsid w:val="004916FD"/>
    <w:rsid w:val="004A0F7B"/>
    <w:rsid w:val="004A38B5"/>
    <w:rsid w:val="004C6EC6"/>
    <w:rsid w:val="004D178A"/>
    <w:rsid w:val="004D21AE"/>
    <w:rsid w:val="005005BE"/>
    <w:rsid w:val="005014F8"/>
    <w:rsid w:val="0053475B"/>
    <w:rsid w:val="005554F7"/>
    <w:rsid w:val="005566DF"/>
    <w:rsid w:val="00556F99"/>
    <w:rsid w:val="0056358F"/>
    <w:rsid w:val="00577CAD"/>
    <w:rsid w:val="00592192"/>
    <w:rsid w:val="005C444C"/>
    <w:rsid w:val="005E3680"/>
    <w:rsid w:val="005E61C8"/>
    <w:rsid w:val="005F2F82"/>
    <w:rsid w:val="00621D4E"/>
    <w:rsid w:val="00635DEB"/>
    <w:rsid w:val="0064506E"/>
    <w:rsid w:val="00654C6B"/>
    <w:rsid w:val="00684639"/>
    <w:rsid w:val="006863D7"/>
    <w:rsid w:val="00697903"/>
    <w:rsid w:val="006C7459"/>
    <w:rsid w:val="006E18CE"/>
    <w:rsid w:val="006E7193"/>
    <w:rsid w:val="00703569"/>
    <w:rsid w:val="00712B28"/>
    <w:rsid w:val="00714F74"/>
    <w:rsid w:val="00726389"/>
    <w:rsid w:val="00726DC3"/>
    <w:rsid w:val="007304E4"/>
    <w:rsid w:val="00765ECF"/>
    <w:rsid w:val="00767576"/>
    <w:rsid w:val="007774A7"/>
    <w:rsid w:val="007801FA"/>
    <w:rsid w:val="00793A0A"/>
    <w:rsid w:val="007A5B81"/>
    <w:rsid w:val="007E17A6"/>
    <w:rsid w:val="007E2613"/>
    <w:rsid w:val="007E6A47"/>
    <w:rsid w:val="007F71AE"/>
    <w:rsid w:val="00813FEA"/>
    <w:rsid w:val="008164D4"/>
    <w:rsid w:val="00822DF1"/>
    <w:rsid w:val="0082463C"/>
    <w:rsid w:val="0083184B"/>
    <w:rsid w:val="008568C1"/>
    <w:rsid w:val="00857E04"/>
    <w:rsid w:val="00866265"/>
    <w:rsid w:val="0087580A"/>
    <w:rsid w:val="00881F7A"/>
    <w:rsid w:val="008870AC"/>
    <w:rsid w:val="008B5A26"/>
    <w:rsid w:val="008C23EA"/>
    <w:rsid w:val="008C630F"/>
    <w:rsid w:val="008D40A4"/>
    <w:rsid w:val="008F2BD6"/>
    <w:rsid w:val="0090648C"/>
    <w:rsid w:val="0091031F"/>
    <w:rsid w:val="009364CB"/>
    <w:rsid w:val="0095205A"/>
    <w:rsid w:val="00955FEE"/>
    <w:rsid w:val="00970E3A"/>
    <w:rsid w:val="0097140B"/>
    <w:rsid w:val="00990DC3"/>
    <w:rsid w:val="009C03EE"/>
    <w:rsid w:val="009C09E7"/>
    <w:rsid w:val="009C2FFE"/>
    <w:rsid w:val="009C5BB3"/>
    <w:rsid w:val="009C6D96"/>
    <w:rsid w:val="009C7F55"/>
    <w:rsid w:val="009D5F35"/>
    <w:rsid w:val="009F4E32"/>
    <w:rsid w:val="009F7AAA"/>
    <w:rsid w:val="00A213FF"/>
    <w:rsid w:val="00A32CF8"/>
    <w:rsid w:val="00A42B1D"/>
    <w:rsid w:val="00A636FF"/>
    <w:rsid w:val="00A645DB"/>
    <w:rsid w:val="00A64744"/>
    <w:rsid w:val="00A76A85"/>
    <w:rsid w:val="00A76B85"/>
    <w:rsid w:val="00A80AEB"/>
    <w:rsid w:val="00A94CBE"/>
    <w:rsid w:val="00AA2137"/>
    <w:rsid w:val="00AA383D"/>
    <w:rsid w:val="00AE4185"/>
    <w:rsid w:val="00B04BC3"/>
    <w:rsid w:val="00B04F3D"/>
    <w:rsid w:val="00B36093"/>
    <w:rsid w:val="00B41429"/>
    <w:rsid w:val="00B56B14"/>
    <w:rsid w:val="00B760D3"/>
    <w:rsid w:val="00B813BE"/>
    <w:rsid w:val="00B9533F"/>
    <w:rsid w:val="00BB35AB"/>
    <w:rsid w:val="00BB4B31"/>
    <w:rsid w:val="00BF068F"/>
    <w:rsid w:val="00C028A0"/>
    <w:rsid w:val="00C3059A"/>
    <w:rsid w:val="00C37342"/>
    <w:rsid w:val="00C44690"/>
    <w:rsid w:val="00C52C37"/>
    <w:rsid w:val="00C63786"/>
    <w:rsid w:val="00CB2550"/>
    <w:rsid w:val="00CD6066"/>
    <w:rsid w:val="00CE0111"/>
    <w:rsid w:val="00CF3CFB"/>
    <w:rsid w:val="00CF5F60"/>
    <w:rsid w:val="00D02D2B"/>
    <w:rsid w:val="00D24E5D"/>
    <w:rsid w:val="00D3000C"/>
    <w:rsid w:val="00D447CD"/>
    <w:rsid w:val="00D5383C"/>
    <w:rsid w:val="00DB7090"/>
    <w:rsid w:val="00DD2113"/>
    <w:rsid w:val="00DD218A"/>
    <w:rsid w:val="00DE1E88"/>
    <w:rsid w:val="00E2047C"/>
    <w:rsid w:val="00E52399"/>
    <w:rsid w:val="00E62272"/>
    <w:rsid w:val="00E672D4"/>
    <w:rsid w:val="00E932BA"/>
    <w:rsid w:val="00EA249D"/>
    <w:rsid w:val="00EA2718"/>
    <w:rsid w:val="00EB08C3"/>
    <w:rsid w:val="00EB1C2B"/>
    <w:rsid w:val="00EC38A7"/>
    <w:rsid w:val="00EC48C2"/>
    <w:rsid w:val="00EE4979"/>
    <w:rsid w:val="00F128F9"/>
    <w:rsid w:val="00F3345B"/>
    <w:rsid w:val="00F3432C"/>
    <w:rsid w:val="00F403A5"/>
    <w:rsid w:val="00F54397"/>
    <w:rsid w:val="00F603AA"/>
    <w:rsid w:val="00F621BB"/>
    <w:rsid w:val="00F66109"/>
    <w:rsid w:val="00F85615"/>
    <w:rsid w:val="00F90CC6"/>
    <w:rsid w:val="00F91FBD"/>
    <w:rsid w:val="00F92509"/>
    <w:rsid w:val="00FB74A1"/>
    <w:rsid w:val="00FC73AC"/>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96"/>
    <w:pPr>
      <w:spacing w:after="12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9C6D96"/>
    <w:pPr>
      <w:keepNext/>
      <w:keepLines/>
      <w:spacing w:before="200" w:line="480" w:lineRule="auto"/>
      <w:outlineLvl w:val="1"/>
    </w:pPr>
    <w:rPr>
      <w:rFonts w:eastAsiaTheme="majorEastAsia"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D96"/>
    <w:rPr>
      <w:rFonts w:ascii="Times New Roman" w:eastAsiaTheme="majorEastAsia" w:hAnsi="Times New Roman" w:cstheme="majorBidi"/>
      <w:b/>
      <w:bCs/>
      <w:i/>
      <w:sz w:val="26"/>
      <w:szCs w:val="26"/>
    </w:rPr>
  </w:style>
  <w:style w:type="table" w:styleId="TableGrid">
    <w:name w:val="Table Grid"/>
    <w:basedOn w:val="TableNormal"/>
    <w:uiPriority w:val="59"/>
    <w:rsid w:val="009C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S,single space,footnote text,Char2 Char Char,Char2 Char,Char2 Char Char Char  Char Char,§fn Char Char"/>
    <w:basedOn w:val="Normal"/>
    <w:link w:val="FootnoteTextChar"/>
    <w:uiPriority w:val="99"/>
    <w:unhideWhenUsed/>
    <w:rsid w:val="009C6D96"/>
    <w:pPr>
      <w:spacing w:after="0"/>
    </w:pPr>
    <w:rPr>
      <w:sz w:val="20"/>
      <w:szCs w:val="20"/>
    </w:rPr>
  </w:style>
  <w:style w:type="character" w:customStyle="1" w:styleId="FootnoteTextChar">
    <w:name w:val="Footnote Text Char"/>
    <w:aliases w:val="fn Char,FOOTNOTES Char,single space Char,footnote text Char,Char2 Char Char Char,Char2 Char Char1,Char2 Char Char Char  Char Char Char,§fn Char Char Char"/>
    <w:basedOn w:val="DefaultParagraphFont"/>
    <w:link w:val="FootnoteText"/>
    <w:uiPriority w:val="99"/>
    <w:rsid w:val="009C6D96"/>
    <w:rPr>
      <w:rFonts w:ascii="Times New Roman" w:hAnsi="Times New Roman"/>
      <w:sz w:val="20"/>
      <w:szCs w:val="20"/>
    </w:rPr>
  </w:style>
  <w:style w:type="character" w:styleId="FootnoteReference">
    <w:name w:val="footnote reference"/>
    <w:aliases w:val="Standard + Block,Erste Zeile:  1 cm,16 Point,Superscript 6 Point,ftref,fr,Footnote text,(NECG) Footnote Reference,o,FR,Footnote anchor"/>
    <w:basedOn w:val="DefaultParagraphFont"/>
    <w:uiPriority w:val="99"/>
    <w:unhideWhenUsed/>
    <w:rsid w:val="009C6D96"/>
    <w:rPr>
      <w:vertAlign w:val="superscript"/>
    </w:rPr>
  </w:style>
  <w:style w:type="paragraph" w:styleId="BalloonText">
    <w:name w:val="Balloon Text"/>
    <w:basedOn w:val="Normal"/>
    <w:link w:val="BalloonTextChar"/>
    <w:uiPriority w:val="99"/>
    <w:semiHidden/>
    <w:unhideWhenUsed/>
    <w:rsid w:val="009C6D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96"/>
    <w:rPr>
      <w:rFonts w:ascii="Tahoma" w:hAnsi="Tahoma" w:cs="Tahoma"/>
      <w:sz w:val="16"/>
      <w:szCs w:val="16"/>
    </w:rPr>
  </w:style>
  <w:style w:type="character" w:styleId="Hyperlink">
    <w:name w:val="Hyperlink"/>
    <w:basedOn w:val="DefaultParagraphFont"/>
    <w:uiPriority w:val="99"/>
    <w:unhideWhenUsed/>
    <w:rsid w:val="009C09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96"/>
    <w:pPr>
      <w:spacing w:after="12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9C6D96"/>
    <w:pPr>
      <w:keepNext/>
      <w:keepLines/>
      <w:spacing w:before="200" w:line="480" w:lineRule="auto"/>
      <w:outlineLvl w:val="1"/>
    </w:pPr>
    <w:rPr>
      <w:rFonts w:eastAsiaTheme="majorEastAsia"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D96"/>
    <w:rPr>
      <w:rFonts w:ascii="Times New Roman" w:eastAsiaTheme="majorEastAsia" w:hAnsi="Times New Roman" w:cstheme="majorBidi"/>
      <w:b/>
      <w:bCs/>
      <w:i/>
      <w:sz w:val="26"/>
      <w:szCs w:val="26"/>
    </w:rPr>
  </w:style>
  <w:style w:type="table" w:styleId="TableGrid">
    <w:name w:val="Table Grid"/>
    <w:basedOn w:val="TableNormal"/>
    <w:uiPriority w:val="59"/>
    <w:rsid w:val="009C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S,single space,footnote text,Char2 Char Char,Char2 Char,Char2 Char Char Char  Char Char,§fn Char Char"/>
    <w:basedOn w:val="Normal"/>
    <w:link w:val="FootnoteTextChar"/>
    <w:uiPriority w:val="99"/>
    <w:unhideWhenUsed/>
    <w:rsid w:val="009C6D96"/>
    <w:pPr>
      <w:spacing w:after="0"/>
    </w:pPr>
    <w:rPr>
      <w:sz w:val="20"/>
      <w:szCs w:val="20"/>
    </w:rPr>
  </w:style>
  <w:style w:type="character" w:customStyle="1" w:styleId="FootnoteTextChar">
    <w:name w:val="Footnote Text Char"/>
    <w:aliases w:val="fn Char,FOOTNOTES Char,single space Char,footnote text Char,Char2 Char Char Char,Char2 Char Char1,Char2 Char Char Char  Char Char Char,§fn Char Char Char"/>
    <w:basedOn w:val="DefaultParagraphFont"/>
    <w:link w:val="FootnoteText"/>
    <w:uiPriority w:val="99"/>
    <w:rsid w:val="009C6D96"/>
    <w:rPr>
      <w:rFonts w:ascii="Times New Roman" w:hAnsi="Times New Roman"/>
      <w:sz w:val="20"/>
      <w:szCs w:val="20"/>
    </w:rPr>
  </w:style>
  <w:style w:type="character" w:styleId="FootnoteReference">
    <w:name w:val="footnote reference"/>
    <w:aliases w:val="Standard + Block,Erste Zeile:  1 cm,16 Point,Superscript 6 Point,ftref,fr,Footnote text,(NECG) Footnote Reference,o,FR,Footnote anchor"/>
    <w:basedOn w:val="DefaultParagraphFont"/>
    <w:uiPriority w:val="99"/>
    <w:unhideWhenUsed/>
    <w:rsid w:val="009C6D96"/>
    <w:rPr>
      <w:vertAlign w:val="superscript"/>
    </w:rPr>
  </w:style>
  <w:style w:type="paragraph" w:styleId="BalloonText">
    <w:name w:val="Balloon Text"/>
    <w:basedOn w:val="Normal"/>
    <w:link w:val="BalloonTextChar"/>
    <w:uiPriority w:val="99"/>
    <w:semiHidden/>
    <w:unhideWhenUsed/>
    <w:rsid w:val="009C6D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96"/>
    <w:rPr>
      <w:rFonts w:ascii="Tahoma" w:hAnsi="Tahoma" w:cs="Tahoma"/>
      <w:sz w:val="16"/>
      <w:szCs w:val="16"/>
    </w:rPr>
  </w:style>
  <w:style w:type="character" w:styleId="Hyperlink">
    <w:name w:val="Hyperlink"/>
    <w:basedOn w:val="DefaultParagraphFont"/>
    <w:uiPriority w:val="99"/>
    <w:unhideWhenUsed/>
    <w:rsid w:val="009C0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9EA8-81FB-4EAB-B7F3-1B933079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 R. Timilsina</dc:creator>
  <cp:lastModifiedBy>Govinda R. Timilsina</cp:lastModifiedBy>
  <cp:revision>14</cp:revision>
  <dcterms:created xsi:type="dcterms:W3CDTF">2014-11-30T19:13:00Z</dcterms:created>
  <dcterms:modified xsi:type="dcterms:W3CDTF">2014-12-01T01:58:00Z</dcterms:modified>
</cp:coreProperties>
</file>