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CE" w:rsidRDefault="000262CE" w:rsidP="00BA3834">
      <w:pPr>
        <w:framePr w:w="10800" w:h="2142" w:hRule="exact" w:hSpace="187" w:wrap="auto" w:vAnchor="page" w:hAnchor="page" w:x="714" w:y="1085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</w:t>
      </w:r>
      <w:r>
        <w:tab/>
      </w:r>
    </w:p>
    <w:p w:rsidR="000262CE" w:rsidRDefault="000262CE" w:rsidP="0050114B">
      <w:pPr>
        <w:pStyle w:val="BodyText"/>
        <w:framePr w:w="10800" w:h="2142" w:hRule="exact" w:hSpace="187" w:wrap="auto" w:vAnchor="page" w:hAnchor="page" w:x="714" w:y="1085"/>
        <w:rPr>
          <w:b/>
          <w:sz w:val="28"/>
          <w:szCs w:val="28"/>
        </w:rPr>
      </w:pPr>
      <w:r>
        <w:rPr>
          <w:b/>
          <w:i/>
          <w:caps/>
          <w:sz w:val="28"/>
          <w:szCs w:val="28"/>
        </w:rPr>
        <w:t>Wind energy Can Mitigate market power</w:t>
      </w:r>
    </w:p>
    <w:p w:rsidR="0050114B" w:rsidRDefault="0050114B" w:rsidP="0050114B">
      <w:pPr>
        <w:pStyle w:val="BodyText"/>
        <w:framePr w:w="10800" w:h="2142" w:hRule="exact" w:hSpace="187" w:wrap="auto" w:vAnchor="page" w:hAnchor="page" w:x="714" w:y="1085"/>
        <w:rPr>
          <w:b/>
          <w:sz w:val="28"/>
          <w:szCs w:val="28"/>
        </w:rPr>
      </w:pPr>
    </w:p>
    <w:p w:rsidR="000757AB" w:rsidRPr="00D767DA" w:rsidRDefault="000757AB" w:rsidP="000757AB">
      <w:pPr>
        <w:pStyle w:val="BodyText"/>
        <w:framePr w:w="10800" w:h="2142" w:hRule="exact" w:hSpace="187" w:wrap="auto" w:vAnchor="page" w:hAnchor="page" w:x="714" w:y="1085"/>
        <w:rPr>
          <w:sz w:val="20"/>
        </w:rPr>
      </w:pPr>
      <w:proofErr w:type="spellStart"/>
      <w:r w:rsidRPr="00571EE7">
        <w:rPr>
          <w:b/>
          <w:bCs/>
          <w:sz w:val="20"/>
        </w:rPr>
        <w:t>Ori</w:t>
      </w:r>
      <w:proofErr w:type="spellEnd"/>
      <w:r w:rsidRPr="00571EE7">
        <w:rPr>
          <w:b/>
          <w:bCs/>
          <w:sz w:val="20"/>
        </w:rPr>
        <w:t xml:space="preserve"> Ben-Moshe</w:t>
      </w:r>
      <w:r>
        <w:rPr>
          <w:sz w:val="20"/>
        </w:rPr>
        <w:t xml:space="preserve">, </w:t>
      </w:r>
      <w:r>
        <w:rPr>
          <w:rFonts w:hint="cs"/>
          <w:sz w:val="20"/>
          <w:lang w:bidi="he-IL"/>
        </w:rPr>
        <w:t>T</w:t>
      </w:r>
      <w:r>
        <w:rPr>
          <w:sz w:val="20"/>
          <w:lang w:val="en-US" w:bidi="he-IL"/>
        </w:rPr>
        <w:t xml:space="preserve">he Unit of Energy Engineering, Faculty of Engineering Sciences, </w:t>
      </w:r>
      <w:r>
        <w:rPr>
          <w:sz w:val="20"/>
        </w:rPr>
        <w:t xml:space="preserve">Ben-Gurion University of the Negev, Israel, </w:t>
      </w:r>
      <w:r w:rsidRPr="005C61BF">
        <w:rPr>
          <w:rStyle w:val="Hyperlink"/>
          <w:sz w:val="20"/>
        </w:rPr>
        <w:t>oribenm@post.bgu.ac.il</w:t>
      </w:r>
    </w:p>
    <w:p w:rsidR="000262CE" w:rsidRDefault="000262CE" w:rsidP="00CD3F04">
      <w:pPr>
        <w:pStyle w:val="BodyText"/>
        <w:framePr w:w="10800" w:h="2142" w:hRule="exact" w:hSpace="187" w:wrap="auto" w:vAnchor="page" w:hAnchor="page" w:x="714" w:y="1085"/>
        <w:rPr>
          <w:sz w:val="20"/>
        </w:rPr>
      </w:pPr>
      <w:r w:rsidRPr="00571EE7">
        <w:rPr>
          <w:b/>
          <w:bCs/>
          <w:sz w:val="20"/>
        </w:rPr>
        <w:t xml:space="preserve">Ofir </w:t>
      </w:r>
      <w:r w:rsidR="00490239">
        <w:rPr>
          <w:b/>
          <w:bCs/>
          <w:sz w:val="20"/>
        </w:rPr>
        <w:t xml:space="preserve">D. </w:t>
      </w:r>
      <w:r w:rsidRPr="00571EE7">
        <w:rPr>
          <w:b/>
          <w:bCs/>
          <w:sz w:val="20"/>
        </w:rPr>
        <w:t>Rubin</w:t>
      </w:r>
      <w:r>
        <w:rPr>
          <w:sz w:val="20"/>
        </w:rPr>
        <w:t xml:space="preserve">, </w:t>
      </w:r>
      <w:r w:rsidR="00CD3F04">
        <w:rPr>
          <w:sz w:val="20"/>
        </w:rPr>
        <w:t xml:space="preserve">Department of Public Policy &amp; </w:t>
      </w:r>
      <w:r w:rsidRPr="00692ACD">
        <w:rPr>
          <w:sz w:val="20"/>
        </w:rPr>
        <w:t xml:space="preserve">Administration, Guilford Glazer Faculty of Business </w:t>
      </w:r>
      <w:r w:rsidR="00CD3F04">
        <w:rPr>
          <w:sz w:val="20"/>
        </w:rPr>
        <w:t>&amp;</w:t>
      </w:r>
      <w:r w:rsidRPr="00692ACD">
        <w:rPr>
          <w:sz w:val="20"/>
        </w:rPr>
        <w:t xml:space="preserve"> Management, Ben-Gurion University of the Negev, P.O. Box 653, Beer-</w:t>
      </w:r>
      <w:proofErr w:type="spellStart"/>
      <w:r w:rsidRPr="00692ACD">
        <w:rPr>
          <w:sz w:val="20"/>
        </w:rPr>
        <w:t>Sheva</w:t>
      </w:r>
      <w:proofErr w:type="spellEnd"/>
      <w:r w:rsidRPr="00692ACD">
        <w:rPr>
          <w:sz w:val="20"/>
        </w:rPr>
        <w:t>, 84105, Israel</w:t>
      </w:r>
      <w:r w:rsidRPr="00D767DA">
        <w:rPr>
          <w:sz w:val="20"/>
        </w:rPr>
        <w:t xml:space="preserve">, </w:t>
      </w:r>
      <w:r>
        <w:rPr>
          <w:sz w:val="20"/>
        </w:rPr>
        <w:t>+972-8-647</w:t>
      </w:r>
      <w:bookmarkStart w:id="0" w:name="_GoBack"/>
      <w:bookmarkEnd w:id="0"/>
      <w:r>
        <w:rPr>
          <w:sz w:val="20"/>
        </w:rPr>
        <w:t>2597</w:t>
      </w:r>
      <w:r w:rsidRPr="00D767DA">
        <w:rPr>
          <w:sz w:val="20"/>
        </w:rPr>
        <w:t xml:space="preserve">, </w:t>
      </w:r>
      <w:hyperlink r:id="rId8" w:history="1">
        <w:r w:rsidRPr="004D23FB">
          <w:rPr>
            <w:rStyle w:val="Hyperlink"/>
            <w:sz w:val="20"/>
          </w:rPr>
          <w:t>orubin@som.bgu.ac.il</w:t>
        </w:r>
      </w:hyperlink>
    </w:p>
    <w:p w:rsidR="000262CE" w:rsidRDefault="000262CE" w:rsidP="000262CE">
      <w:pPr>
        <w:pStyle w:val="copyright"/>
      </w:pPr>
    </w:p>
    <w:p w:rsidR="00E40921" w:rsidRDefault="00E40921" w:rsidP="000262CE">
      <w:pPr>
        <w:pStyle w:val="Heading2"/>
        <w:ind w:left="-810" w:firstLine="810"/>
        <w:rPr>
          <w:i w:val="0"/>
          <w:sz w:val="24"/>
          <w:szCs w:val="24"/>
        </w:rPr>
      </w:pPr>
    </w:p>
    <w:p w:rsidR="000262CE" w:rsidRPr="00384EE2" w:rsidRDefault="000262CE" w:rsidP="000262CE">
      <w:pPr>
        <w:pStyle w:val="Heading2"/>
        <w:ind w:left="-810" w:firstLine="810"/>
        <w:rPr>
          <w:i w:val="0"/>
          <w:sz w:val="24"/>
          <w:szCs w:val="24"/>
          <w:rtl/>
          <w:lang w:val="en-US" w:bidi="he-IL"/>
        </w:rPr>
      </w:pPr>
      <w:r w:rsidRPr="00476853">
        <w:rPr>
          <w:i w:val="0"/>
          <w:sz w:val="24"/>
          <w:szCs w:val="24"/>
        </w:rPr>
        <w:t>Overview</w:t>
      </w:r>
    </w:p>
    <w:p w:rsidR="000262CE" w:rsidRPr="001C170F" w:rsidRDefault="000262CE" w:rsidP="00012ECC">
      <w:pPr>
        <w:pStyle w:val="BodyText2"/>
        <w:spacing w:after="200"/>
        <w:rPr>
          <w:iCs/>
          <w:lang w:bidi="he-IL"/>
        </w:rPr>
      </w:pPr>
      <w:r>
        <w:rPr>
          <w:iCs/>
        </w:rPr>
        <w:t>There is a large and growing body of literature suggesting that electricity prices decline i</w:t>
      </w:r>
      <w:r w:rsidR="009B4E3E">
        <w:rPr>
          <w:iCs/>
        </w:rPr>
        <w:t>n wind energy penetration rate (e.g</w:t>
      </w:r>
      <w:r>
        <w:rPr>
          <w:iCs/>
        </w:rPr>
        <w:t xml:space="preserve">. </w:t>
      </w:r>
      <w:proofErr w:type="spellStart"/>
      <w:r w:rsidR="009B4E3E">
        <w:rPr>
          <w:iCs/>
        </w:rPr>
        <w:t>Olsina</w:t>
      </w:r>
      <w:proofErr w:type="spellEnd"/>
      <w:r w:rsidR="009B4E3E">
        <w:rPr>
          <w:iCs/>
        </w:rPr>
        <w:t xml:space="preserve"> et al. 2007; </w:t>
      </w:r>
      <w:proofErr w:type="spellStart"/>
      <w:r w:rsidR="009B4E3E" w:rsidRPr="00A272F5">
        <w:rPr>
          <w:iCs/>
        </w:rPr>
        <w:t>Botterud</w:t>
      </w:r>
      <w:proofErr w:type="spellEnd"/>
      <w:r w:rsidR="009B4E3E">
        <w:rPr>
          <w:iCs/>
        </w:rPr>
        <w:t xml:space="preserve"> </w:t>
      </w:r>
      <w:r w:rsidR="00B1243B">
        <w:rPr>
          <w:iCs/>
        </w:rPr>
        <w:t xml:space="preserve">et al. </w:t>
      </w:r>
      <w:r w:rsidR="009B4E3E">
        <w:rPr>
          <w:iCs/>
        </w:rPr>
        <w:t xml:space="preserve">2010; </w:t>
      </w:r>
      <w:r w:rsidRPr="00693B20">
        <w:rPr>
          <w:iCs/>
        </w:rPr>
        <w:t>Green</w:t>
      </w:r>
      <w:r>
        <w:rPr>
          <w:iCs/>
        </w:rPr>
        <w:t xml:space="preserve"> </w:t>
      </w:r>
      <w:r w:rsidRPr="00693B20">
        <w:rPr>
          <w:iCs/>
        </w:rPr>
        <w:t xml:space="preserve">&amp; </w:t>
      </w:r>
      <w:proofErr w:type="spellStart"/>
      <w:r w:rsidRPr="00693B20">
        <w:rPr>
          <w:iCs/>
        </w:rPr>
        <w:t>Vasilakos</w:t>
      </w:r>
      <w:proofErr w:type="spellEnd"/>
      <w:r>
        <w:rPr>
          <w:iCs/>
        </w:rPr>
        <w:t xml:space="preserve"> 2010; </w:t>
      </w:r>
      <w:proofErr w:type="spellStart"/>
      <w:r>
        <w:rPr>
          <w:iCs/>
        </w:rPr>
        <w:t>Traber</w:t>
      </w:r>
      <w:proofErr w:type="spellEnd"/>
      <w:r>
        <w:rPr>
          <w:iCs/>
        </w:rPr>
        <w:t xml:space="preserve"> </w:t>
      </w:r>
      <w:r w:rsidRPr="00693B20">
        <w:rPr>
          <w:iCs/>
        </w:rPr>
        <w:t xml:space="preserve">&amp; </w:t>
      </w:r>
      <w:proofErr w:type="spellStart"/>
      <w:r w:rsidRPr="00693B20">
        <w:rPr>
          <w:iCs/>
        </w:rPr>
        <w:t>Kemfert</w:t>
      </w:r>
      <w:proofErr w:type="spellEnd"/>
      <w:r>
        <w:rPr>
          <w:iCs/>
        </w:rPr>
        <w:t xml:space="preserve"> 2011; </w:t>
      </w:r>
      <w:r w:rsidRPr="00693B20">
        <w:rPr>
          <w:iCs/>
        </w:rPr>
        <w:t xml:space="preserve">Woo, </w:t>
      </w:r>
      <w:r>
        <w:rPr>
          <w:iCs/>
        </w:rPr>
        <w:t>et al. 2011</w:t>
      </w:r>
      <w:r w:rsidR="00A272F5">
        <w:rPr>
          <w:iCs/>
        </w:rPr>
        <w:t>;</w:t>
      </w:r>
      <w:r w:rsidR="009B4E3E">
        <w:rPr>
          <w:iCs/>
        </w:rPr>
        <w:t xml:space="preserve"> Rubin &amp; Babcock 2013). </w:t>
      </w:r>
      <w:r w:rsidR="00012ECC">
        <w:rPr>
          <w:iCs/>
        </w:rPr>
        <w:t>Commonly, t</w:t>
      </w:r>
      <w:r w:rsidR="00B1243B">
        <w:rPr>
          <w:iCs/>
        </w:rPr>
        <w:t>wo intertwine</w:t>
      </w:r>
      <w:r w:rsidR="00883488">
        <w:rPr>
          <w:iCs/>
        </w:rPr>
        <w:t>d</w:t>
      </w:r>
      <w:r w:rsidR="00B1243B">
        <w:rPr>
          <w:iCs/>
        </w:rPr>
        <w:t xml:space="preserve"> f</w:t>
      </w:r>
      <w:r w:rsidR="00490239">
        <w:rPr>
          <w:iCs/>
        </w:rPr>
        <w:t>actors</w:t>
      </w:r>
      <w:r w:rsidR="00B1243B">
        <w:rPr>
          <w:iCs/>
        </w:rPr>
        <w:t xml:space="preserve"> explain this phenomenon</w:t>
      </w:r>
      <w:r w:rsidR="00490239">
        <w:rPr>
          <w:iCs/>
        </w:rPr>
        <w:t>:</w:t>
      </w:r>
      <w:r w:rsidR="004B0130">
        <w:rPr>
          <w:iCs/>
        </w:rPr>
        <w:t xml:space="preserve"> p</w:t>
      </w:r>
      <w:r>
        <w:rPr>
          <w:iCs/>
        </w:rPr>
        <w:t xml:space="preserve">ublic support given to investments in wind </w:t>
      </w:r>
      <w:r w:rsidR="009B4E3E">
        <w:rPr>
          <w:iCs/>
        </w:rPr>
        <w:t>power capacity (and other renewables</w:t>
      </w:r>
      <w:r>
        <w:rPr>
          <w:iCs/>
        </w:rPr>
        <w:t xml:space="preserve">) </w:t>
      </w:r>
      <w:r w:rsidR="004B0130">
        <w:rPr>
          <w:iCs/>
        </w:rPr>
        <w:t>which</w:t>
      </w:r>
      <w:r w:rsidR="00B1243B">
        <w:rPr>
          <w:iCs/>
        </w:rPr>
        <w:t xml:space="preserve"> </w:t>
      </w:r>
      <w:r>
        <w:rPr>
          <w:iCs/>
        </w:rPr>
        <w:t xml:space="preserve">enables </w:t>
      </w:r>
      <w:r w:rsidR="00490239">
        <w:rPr>
          <w:iCs/>
        </w:rPr>
        <w:t>wind</w:t>
      </w:r>
      <w:r w:rsidR="00B1243B">
        <w:rPr>
          <w:iCs/>
        </w:rPr>
        <w:t xml:space="preserve"> </w:t>
      </w:r>
      <w:r w:rsidR="009B4E3E">
        <w:rPr>
          <w:iCs/>
        </w:rPr>
        <w:t xml:space="preserve">generators to </w:t>
      </w:r>
      <w:r w:rsidR="00B1243B">
        <w:rPr>
          <w:iCs/>
        </w:rPr>
        <w:t>compete</w:t>
      </w:r>
      <w:r w:rsidR="009B4E3E">
        <w:rPr>
          <w:iCs/>
        </w:rPr>
        <w:t>,</w:t>
      </w:r>
      <w:r>
        <w:rPr>
          <w:iCs/>
        </w:rPr>
        <w:t xml:space="preserve"> and the fact that once </w:t>
      </w:r>
      <w:r w:rsidR="009B4E3E">
        <w:rPr>
          <w:iCs/>
        </w:rPr>
        <w:t xml:space="preserve">wind </w:t>
      </w:r>
      <w:r>
        <w:rPr>
          <w:iCs/>
        </w:rPr>
        <w:t>capacity is installed, marginal generat</w:t>
      </w:r>
      <w:r w:rsidR="00544110">
        <w:rPr>
          <w:iCs/>
        </w:rPr>
        <w:t>ion cost</w:t>
      </w:r>
      <w:r w:rsidR="00490239">
        <w:rPr>
          <w:iCs/>
        </w:rPr>
        <w:t xml:space="preserve"> is negligible compare</w:t>
      </w:r>
      <w:r>
        <w:rPr>
          <w:iCs/>
        </w:rPr>
        <w:t xml:space="preserve"> with conventional units. Still, it is unclear whether these observations are generalizable and if not, what are the conditions </w:t>
      </w:r>
      <w:r w:rsidR="00A16EB4">
        <w:rPr>
          <w:iCs/>
        </w:rPr>
        <w:t>of</w:t>
      </w:r>
      <w:r>
        <w:rPr>
          <w:iCs/>
        </w:rPr>
        <w:t xml:space="preserve"> which wind energy </w:t>
      </w:r>
      <w:r w:rsidR="00A16EB4">
        <w:rPr>
          <w:iCs/>
        </w:rPr>
        <w:t>has no</w:t>
      </w:r>
      <w:r>
        <w:rPr>
          <w:iCs/>
        </w:rPr>
        <w:t xml:space="preserve"> dampening effect on electricity market prices.  </w:t>
      </w:r>
    </w:p>
    <w:p w:rsidR="005C71E1" w:rsidRDefault="005C71E1" w:rsidP="000262CE">
      <w:pPr>
        <w:pStyle w:val="Heading2"/>
        <w:rPr>
          <w:i w:val="0"/>
          <w:sz w:val="24"/>
          <w:szCs w:val="24"/>
        </w:rPr>
      </w:pPr>
    </w:p>
    <w:p w:rsidR="000262CE" w:rsidRPr="00D767DA" w:rsidRDefault="000262CE" w:rsidP="000262CE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Methods</w:t>
      </w:r>
    </w:p>
    <w:p w:rsidR="000262CE" w:rsidRPr="003A428C" w:rsidRDefault="000262CE" w:rsidP="00D31FB2">
      <w:pPr>
        <w:pStyle w:val="BodyText2"/>
        <w:spacing w:after="200"/>
        <w:rPr>
          <w:iCs/>
          <w:rtl/>
          <w:lang w:bidi="he-IL"/>
        </w:rPr>
      </w:pPr>
      <w:r w:rsidRPr="006C6AA4">
        <w:rPr>
          <w:iCs/>
        </w:rPr>
        <w:t xml:space="preserve">In this </w:t>
      </w:r>
      <w:r w:rsidR="00324794" w:rsidRPr="006C6AA4">
        <w:rPr>
          <w:iCs/>
        </w:rPr>
        <w:t>study,</w:t>
      </w:r>
      <w:r w:rsidRPr="006C6AA4">
        <w:rPr>
          <w:iCs/>
        </w:rPr>
        <w:t xml:space="preserve"> we </w:t>
      </w:r>
      <w:r>
        <w:rPr>
          <w:iCs/>
        </w:rPr>
        <w:t>extend the</w:t>
      </w:r>
      <w:r w:rsidRPr="006C6AA4">
        <w:rPr>
          <w:iCs/>
        </w:rPr>
        <w:t xml:space="preserve"> model </w:t>
      </w:r>
      <w:r>
        <w:rPr>
          <w:iCs/>
        </w:rPr>
        <w:t>by</w:t>
      </w:r>
      <w:r w:rsidRPr="006C6AA4">
        <w:rPr>
          <w:iCs/>
        </w:rPr>
        <w:t xml:space="preserve"> </w:t>
      </w:r>
      <w:r>
        <w:rPr>
          <w:noProof/>
        </w:rPr>
        <w:t>Twomey &amp; Neuhoff (2010</w:t>
      </w:r>
      <w:r w:rsidRPr="006C6AA4">
        <w:rPr>
          <w:iCs/>
        </w:rPr>
        <w:t xml:space="preserve">) to examine whether </w:t>
      </w:r>
      <w:r>
        <w:rPr>
          <w:iCs/>
        </w:rPr>
        <w:t xml:space="preserve">an </w:t>
      </w:r>
      <w:r w:rsidRPr="006C6AA4">
        <w:rPr>
          <w:iCs/>
        </w:rPr>
        <w:t>increase in wind energy penetration rate neces</w:t>
      </w:r>
      <w:r>
        <w:rPr>
          <w:iCs/>
        </w:rPr>
        <w:t>sarily</w:t>
      </w:r>
      <w:r w:rsidRPr="006C6AA4">
        <w:rPr>
          <w:iCs/>
        </w:rPr>
        <w:t xml:space="preserve"> brings market prices</w:t>
      </w:r>
      <w:r>
        <w:rPr>
          <w:iCs/>
        </w:rPr>
        <w:t xml:space="preserve"> down</w:t>
      </w:r>
      <w:r w:rsidRPr="006C6AA4">
        <w:rPr>
          <w:iCs/>
        </w:rPr>
        <w:t xml:space="preserve">. </w:t>
      </w:r>
      <w:r w:rsidR="00490239">
        <w:rPr>
          <w:iCs/>
        </w:rPr>
        <w:t>The original model</w:t>
      </w:r>
      <w:r>
        <w:rPr>
          <w:iCs/>
        </w:rPr>
        <w:t xml:space="preserve"> investigate</w:t>
      </w:r>
      <w:r w:rsidR="00A16EB4">
        <w:rPr>
          <w:iCs/>
        </w:rPr>
        <w:t>s</w:t>
      </w:r>
      <w:r>
        <w:rPr>
          <w:iCs/>
        </w:rPr>
        <w:t xml:space="preserve"> the linkage betw</w:t>
      </w:r>
      <w:r w:rsidR="00490239">
        <w:rPr>
          <w:iCs/>
        </w:rPr>
        <w:t>een wind energy and market prices in</w:t>
      </w:r>
      <w:r>
        <w:rPr>
          <w:iCs/>
        </w:rPr>
        <w:t xml:space="preserve"> </w:t>
      </w:r>
      <w:r w:rsidR="00490239">
        <w:rPr>
          <w:iCs/>
        </w:rPr>
        <w:t xml:space="preserve">a </w:t>
      </w:r>
      <w:r>
        <w:rPr>
          <w:iCs/>
        </w:rPr>
        <w:t>monopoly, duopoly and competitive market</w:t>
      </w:r>
      <w:r w:rsidR="00A16EB4">
        <w:rPr>
          <w:iCs/>
        </w:rPr>
        <w:t xml:space="preserve"> regimes</w:t>
      </w:r>
      <w:r>
        <w:rPr>
          <w:iCs/>
        </w:rPr>
        <w:t xml:space="preserve">. </w:t>
      </w:r>
      <w:r w:rsidR="00490239">
        <w:rPr>
          <w:iCs/>
        </w:rPr>
        <w:t>In this model, t</w:t>
      </w:r>
      <w:r>
        <w:rPr>
          <w:iCs/>
        </w:rPr>
        <w:t xml:space="preserve">he ownership of wind power capacity is introduced </w:t>
      </w:r>
      <w:r w:rsidR="00A16EB4">
        <w:rPr>
          <w:iCs/>
        </w:rPr>
        <w:t xml:space="preserve">to the market </w:t>
      </w:r>
      <w:r w:rsidR="009B4E3E">
        <w:rPr>
          <w:iCs/>
        </w:rPr>
        <w:t>by</w:t>
      </w:r>
      <w:r w:rsidR="004B0130">
        <w:rPr>
          <w:iCs/>
        </w:rPr>
        <w:t xml:space="preserve"> price-</w:t>
      </w:r>
      <w:r>
        <w:rPr>
          <w:iCs/>
        </w:rPr>
        <w:t>tak</w:t>
      </w:r>
      <w:r w:rsidR="00883488">
        <w:rPr>
          <w:iCs/>
        </w:rPr>
        <w:t>er</w:t>
      </w:r>
      <w:r>
        <w:rPr>
          <w:iCs/>
        </w:rPr>
        <w:t xml:space="preserve"> firms. W</w:t>
      </w:r>
      <w:r w:rsidRPr="006C6AA4">
        <w:rPr>
          <w:iCs/>
        </w:rPr>
        <w:t>e expand th</w:t>
      </w:r>
      <w:r w:rsidR="009B4E3E">
        <w:rPr>
          <w:iCs/>
        </w:rPr>
        <w:t>is</w:t>
      </w:r>
      <w:r w:rsidRPr="006C6AA4">
        <w:rPr>
          <w:iCs/>
        </w:rPr>
        <w:t xml:space="preserve"> </w:t>
      </w:r>
      <w:r>
        <w:rPr>
          <w:iCs/>
        </w:rPr>
        <w:t xml:space="preserve">framework </w:t>
      </w:r>
      <w:r w:rsidR="00A16EB4">
        <w:rPr>
          <w:iCs/>
        </w:rPr>
        <w:t xml:space="preserve">in two ways. First, we </w:t>
      </w:r>
      <w:r w:rsidR="00612992">
        <w:rPr>
          <w:iCs/>
        </w:rPr>
        <w:t>advance</w:t>
      </w:r>
      <w:r w:rsidR="00A16EB4">
        <w:rPr>
          <w:iCs/>
        </w:rPr>
        <w:t xml:space="preserve"> the model for the case of </w:t>
      </w:r>
      <w:r>
        <w:rPr>
          <w:iCs/>
        </w:rPr>
        <w:t>oligopoly</w:t>
      </w:r>
      <w:r w:rsidR="00612992">
        <w:rPr>
          <w:iCs/>
        </w:rPr>
        <w:t xml:space="preserve"> market, which in </w:t>
      </w:r>
      <w:r w:rsidR="004B0130">
        <w:rPr>
          <w:iCs/>
        </w:rPr>
        <w:t>many</w:t>
      </w:r>
      <w:r w:rsidR="00612992">
        <w:rPr>
          <w:iCs/>
        </w:rPr>
        <w:t xml:space="preserve"> cases may be more realistic</w:t>
      </w:r>
      <w:r w:rsidR="00A16EB4">
        <w:rPr>
          <w:iCs/>
        </w:rPr>
        <w:t>. Second, we</w:t>
      </w:r>
      <w:r w:rsidRPr="006C6AA4">
        <w:rPr>
          <w:iCs/>
        </w:rPr>
        <w:t xml:space="preserve"> allow </w:t>
      </w:r>
      <w:r w:rsidR="00612992">
        <w:rPr>
          <w:iCs/>
        </w:rPr>
        <w:t xml:space="preserve">a </w:t>
      </w:r>
      <w:r>
        <w:rPr>
          <w:iCs/>
        </w:rPr>
        <w:t xml:space="preserve">degree of freedom in the ownership </w:t>
      </w:r>
      <w:r w:rsidR="004B0130">
        <w:rPr>
          <w:iCs/>
        </w:rPr>
        <w:t xml:space="preserve">type </w:t>
      </w:r>
      <w:r>
        <w:rPr>
          <w:iCs/>
        </w:rPr>
        <w:t>of wind power capacity. That is</w:t>
      </w:r>
      <w:r w:rsidR="00A16EB4">
        <w:rPr>
          <w:iCs/>
        </w:rPr>
        <w:t>,</w:t>
      </w:r>
      <w:r>
        <w:rPr>
          <w:iCs/>
        </w:rPr>
        <w:t xml:space="preserve"> in our model the </w:t>
      </w:r>
      <w:r w:rsidR="004B0130">
        <w:rPr>
          <w:iCs/>
        </w:rPr>
        <w:t xml:space="preserve">strategic </w:t>
      </w:r>
      <w:r>
        <w:rPr>
          <w:iCs/>
        </w:rPr>
        <w:t xml:space="preserve">conventional generators </w:t>
      </w:r>
      <w:r w:rsidR="00A16EB4">
        <w:rPr>
          <w:iCs/>
        </w:rPr>
        <w:t xml:space="preserve">firms (GF) </w:t>
      </w:r>
      <w:r>
        <w:rPr>
          <w:iCs/>
        </w:rPr>
        <w:t xml:space="preserve">are not </w:t>
      </w:r>
      <w:r w:rsidR="00F20DB4">
        <w:rPr>
          <w:iCs/>
          <w:lang w:val="en-US" w:bidi="he-IL"/>
        </w:rPr>
        <w:t>prevented</w:t>
      </w:r>
      <w:r>
        <w:rPr>
          <w:iCs/>
        </w:rPr>
        <w:t xml:space="preserve"> from owning and operating wind farms. The extended model allows us to </w:t>
      </w:r>
      <w:r w:rsidR="00A16EB4">
        <w:rPr>
          <w:iCs/>
        </w:rPr>
        <w:t>generalize</w:t>
      </w:r>
      <w:r>
        <w:rPr>
          <w:iCs/>
        </w:rPr>
        <w:t xml:space="preserve"> </w:t>
      </w:r>
      <w:r w:rsidR="00F20DB4">
        <w:rPr>
          <w:iCs/>
        </w:rPr>
        <w:t xml:space="preserve">outcomes </w:t>
      </w:r>
      <w:r w:rsidRPr="006C6AA4">
        <w:rPr>
          <w:iCs/>
        </w:rPr>
        <w:t xml:space="preserve">in regard the integration of wind energy into </w:t>
      </w:r>
      <w:r w:rsidR="00612992">
        <w:rPr>
          <w:iCs/>
        </w:rPr>
        <w:t>deregulated</w:t>
      </w:r>
      <w:r w:rsidRPr="006C6AA4">
        <w:rPr>
          <w:iCs/>
        </w:rPr>
        <w:t xml:space="preserve"> electricity markets and their impact on electricity</w:t>
      </w:r>
      <w:r>
        <w:rPr>
          <w:iCs/>
        </w:rPr>
        <w:t xml:space="preserve"> prices. We examine</w:t>
      </w:r>
      <w:r w:rsidRPr="006C6AA4">
        <w:rPr>
          <w:iCs/>
        </w:rPr>
        <w:t xml:space="preserve"> </w:t>
      </w:r>
      <w:r>
        <w:rPr>
          <w:iCs/>
        </w:rPr>
        <w:t>analytically and numerically how the</w:t>
      </w:r>
      <w:r w:rsidRPr="006C6AA4">
        <w:rPr>
          <w:iCs/>
        </w:rPr>
        <w:t xml:space="preserve"> industry structure of the electricity </w:t>
      </w:r>
      <w:r>
        <w:rPr>
          <w:iCs/>
        </w:rPr>
        <w:t>sector</w:t>
      </w:r>
      <w:r w:rsidRPr="006C6AA4">
        <w:rPr>
          <w:iCs/>
        </w:rPr>
        <w:t xml:space="preserve"> </w:t>
      </w:r>
      <w:r>
        <w:rPr>
          <w:iCs/>
        </w:rPr>
        <w:t>(</w:t>
      </w:r>
      <w:r w:rsidR="00A16EB4">
        <w:rPr>
          <w:iCs/>
        </w:rPr>
        <w:t>i.e</w:t>
      </w:r>
      <w:r>
        <w:rPr>
          <w:iCs/>
        </w:rPr>
        <w:t xml:space="preserve">. </w:t>
      </w:r>
      <w:r w:rsidRPr="006C6AA4">
        <w:rPr>
          <w:iCs/>
        </w:rPr>
        <w:t>firms' number and ownership type</w:t>
      </w:r>
      <w:r>
        <w:rPr>
          <w:iCs/>
        </w:rPr>
        <w:t>)</w:t>
      </w:r>
      <w:r w:rsidRPr="006C6AA4">
        <w:rPr>
          <w:iCs/>
        </w:rPr>
        <w:t xml:space="preserve"> affect</w:t>
      </w:r>
      <w:r>
        <w:rPr>
          <w:iCs/>
        </w:rPr>
        <w:t>s</w:t>
      </w:r>
      <w:r w:rsidRPr="006C6AA4">
        <w:rPr>
          <w:iCs/>
        </w:rPr>
        <w:t xml:space="preserve"> the ability to exercise market power and what are the implications </w:t>
      </w:r>
      <w:r w:rsidR="00D31FB2">
        <w:rPr>
          <w:iCs/>
        </w:rPr>
        <w:t>for</w:t>
      </w:r>
      <w:r w:rsidRPr="006C6AA4">
        <w:rPr>
          <w:iCs/>
        </w:rPr>
        <w:t xml:space="preserve"> electricity prices and </w:t>
      </w:r>
      <w:r>
        <w:rPr>
          <w:iCs/>
        </w:rPr>
        <w:t xml:space="preserve">the distribution of </w:t>
      </w:r>
      <w:r w:rsidRPr="006C6AA4">
        <w:rPr>
          <w:iCs/>
        </w:rPr>
        <w:t>welfare in th</w:t>
      </w:r>
      <w:r w:rsidR="00F20DB4">
        <w:rPr>
          <w:iCs/>
        </w:rPr>
        <w:t>is</w:t>
      </w:r>
      <w:r w:rsidRPr="006C6AA4">
        <w:rPr>
          <w:iCs/>
        </w:rPr>
        <w:t xml:space="preserve"> market.</w:t>
      </w:r>
    </w:p>
    <w:p w:rsidR="005C71E1" w:rsidRPr="00142E72" w:rsidRDefault="005C71E1" w:rsidP="000262CE">
      <w:pPr>
        <w:pStyle w:val="Heading2"/>
        <w:rPr>
          <w:i w:val="0"/>
          <w:sz w:val="24"/>
          <w:szCs w:val="24"/>
          <w:rtl/>
          <w:lang w:val="en-US" w:bidi="he-IL"/>
        </w:rPr>
      </w:pPr>
    </w:p>
    <w:p w:rsidR="000262CE" w:rsidRPr="00D767DA" w:rsidRDefault="000262CE" w:rsidP="000262CE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Results</w:t>
      </w:r>
    </w:p>
    <w:p w:rsidR="005C71E1" w:rsidRDefault="000262CE" w:rsidP="004B0130">
      <w:pPr>
        <w:pStyle w:val="BodyText2"/>
        <w:spacing w:after="200"/>
        <w:rPr>
          <w:iCs/>
        </w:rPr>
      </w:pPr>
      <w:r w:rsidRPr="00693B20">
        <w:rPr>
          <w:iCs/>
        </w:rPr>
        <w:t xml:space="preserve">Our main </w:t>
      </w:r>
      <w:r>
        <w:rPr>
          <w:iCs/>
        </w:rPr>
        <w:t>results</w:t>
      </w:r>
      <w:r w:rsidRPr="00693B20">
        <w:rPr>
          <w:iCs/>
        </w:rPr>
        <w:t xml:space="preserve"> are: </w:t>
      </w:r>
      <w:r>
        <w:rPr>
          <w:iCs/>
        </w:rPr>
        <w:t>f</w:t>
      </w:r>
      <w:r w:rsidRPr="00693B20">
        <w:rPr>
          <w:iCs/>
        </w:rPr>
        <w:t xml:space="preserve">irst, </w:t>
      </w:r>
      <w:r>
        <w:rPr>
          <w:iCs/>
        </w:rPr>
        <w:t xml:space="preserve">in relatively more concentrated markets, </w:t>
      </w:r>
      <w:r w:rsidR="00063138">
        <w:rPr>
          <w:iCs/>
        </w:rPr>
        <w:t>conventional</w:t>
      </w:r>
      <w:r w:rsidRPr="00693B20">
        <w:rPr>
          <w:iCs/>
        </w:rPr>
        <w:t xml:space="preserve"> </w:t>
      </w:r>
      <w:r w:rsidR="00063138">
        <w:rPr>
          <w:iCs/>
        </w:rPr>
        <w:t>GF</w:t>
      </w:r>
      <w:r w:rsidR="00324794" w:rsidRPr="00693B20">
        <w:rPr>
          <w:iCs/>
        </w:rPr>
        <w:t>s, which also own wind energy farms,</w:t>
      </w:r>
      <w:r w:rsidRPr="00693B20">
        <w:rPr>
          <w:iCs/>
        </w:rPr>
        <w:t xml:space="preserve"> can raise their revenues from these farms although they </w:t>
      </w:r>
      <w:r w:rsidR="00324794" w:rsidRPr="00693B20">
        <w:rPr>
          <w:iCs/>
        </w:rPr>
        <w:t>cannot</w:t>
      </w:r>
      <w:r w:rsidRPr="00693B20">
        <w:rPr>
          <w:iCs/>
        </w:rPr>
        <w:t xml:space="preserve"> control their output. </w:t>
      </w:r>
      <w:r>
        <w:rPr>
          <w:iCs/>
        </w:rPr>
        <w:t xml:space="preserve">This is </w:t>
      </w:r>
      <w:r w:rsidR="00324794">
        <w:rPr>
          <w:iCs/>
        </w:rPr>
        <w:t xml:space="preserve">because they </w:t>
      </w:r>
      <w:r w:rsidR="002A6CAD">
        <w:rPr>
          <w:iCs/>
        </w:rPr>
        <w:t xml:space="preserve">are able to manipulate market prices </w:t>
      </w:r>
      <w:r w:rsidR="00612992">
        <w:rPr>
          <w:iCs/>
        </w:rPr>
        <w:t>while</w:t>
      </w:r>
      <w:r w:rsidR="002A6CAD">
        <w:rPr>
          <w:iCs/>
        </w:rPr>
        <w:t xml:space="preserve"> maximizing</w:t>
      </w:r>
      <w:r>
        <w:rPr>
          <w:iCs/>
        </w:rPr>
        <w:t xml:space="preserve"> joint profits </w:t>
      </w:r>
      <w:r w:rsidR="00324794">
        <w:rPr>
          <w:iCs/>
        </w:rPr>
        <w:t>from</w:t>
      </w:r>
      <w:r>
        <w:rPr>
          <w:iCs/>
        </w:rPr>
        <w:t xml:space="preserve"> </w:t>
      </w:r>
      <w:r w:rsidR="002A6CAD">
        <w:rPr>
          <w:iCs/>
        </w:rPr>
        <w:t xml:space="preserve">their </w:t>
      </w:r>
      <w:r>
        <w:rPr>
          <w:iCs/>
        </w:rPr>
        <w:t>conventional and renewable generators.</w:t>
      </w:r>
    </w:p>
    <w:p w:rsidR="005C71E1" w:rsidRDefault="00786CD4" w:rsidP="00B252D4">
      <w:pPr>
        <w:pStyle w:val="BodyText2"/>
        <w:spacing w:after="200"/>
        <w:rPr>
          <w:iCs/>
        </w:rPr>
      </w:pPr>
      <w:r w:rsidRPr="00693B20">
        <w:rPr>
          <w:iCs/>
        </w:rPr>
        <w:t xml:space="preserve">Second, </w:t>
      </w:r>
      <w:r w:rsidR="004B0130">
        <w:rPr>
          <w:iCs/>
        </w:rPr>
        <w:t xml:space="preserve">we show that </w:t>
      </w:r>
      <w:r w:rsidRPr="00693B20">
        <w:rPr>
          <w:iCs/>
        </w:rPr>
        <w:t xml:space="preserve">the impact of wind energy penetration rate on market prices is not </w:t>
      </w:r>
      <w:r w:rsidR="00063138">
        <w:rPr>
          <w:iCs/>
          <w:lang w:val="en-US" w:bidi="he-IL"/>
        </w:rPr>
        <w:t>evident</w:t>
      </w:r>
      <w:r w:rsidRPr="00693B20">
        <w:rPr>
          <w:iCs/>
        </w:rPr>
        <w:t xml:space="preserve">; it depends on wind energy ownership </w:t>
      </w:r>
      <w:r w:rsidR="004B0130">
        <w:rPr>
          <w:iCs/>
        </w:rPr>
        <w:t>type</w:t>
      </w:r>
      <w:r w:rsidR="00612992">
        <w:rPr>
          <w:iCs/>
        </w:rPr>
        <w:t>.</w:t>
      </w:r>
      <w:r w:rsidR="00EF4666">
        <w:rPr>
          <w:iCs/>
        </w:rPr>
        <w:t xml:space="preserve"> </w:t>
      </w:r>
      <w:r w:rsidRPr="00693B20">
        <w:rPr>
          <w:iCs/>
        </w:rPr>
        <w:t>In particular, for low level of wind</w:t>
      </w:r>
      <w:r w:rsidRPr="00693B20" w:rsidDel="00AD6112">
        <w:rPr>
          <w:iCs/>
        </w:rPr>
        <w:t xml:space="preserve"> </w:t>
      </w:r>
      <w:r w:rsidRPr="00693B20">
        <w:rPr>
          <w:iCs/>
        </w:rPr>
        <w:t>energy diversification</w:t>
      </w:r>
      <w:r w:rsidR="004B0130">
        <w:rPr>
          <w:iCs/>
        </w:rPr>
        <w:t xml:space="preserve"> (</w:t>
      </w:r>
      <w:r w:rsidR="0082762A">
        <w:rPr>
          <w:iCs/>
        </w:rPr>
        <w:t xml:space="preserve">i.e. conventional </w:t>
      </w:r>
      <w:r w:rsidR="004B0130">
        <w:rPr>
          <w:iCs/>
        </w:rPr>
        <w:t xml:space="preserve">GFs own </w:t>
      </w:r>
      <w:r w:rsidR="0082762A">
        <w:rPr>
          <w:iCs/>
        </w:rPr>
        <w:t>most</w:t>
      </w:r>
      <w:r w:rsidR="004B0130">
        <w:rPr>
          <w:iCs/>
        </w:rPr>
        <w:t xml:space="preserve"> wind capacity)</w:t>
      </w:r>
      <w:r w:rsidRPr="00693B20">
        <w:rPr>
          <w:iCs/>
        </w:rPr>
        <w:t xml:space="preserve">, prices may actually raise with wind energy penetration rate. </w:t>
      </w:r>
      <w:r w:rsidR="00324794">
        <w:rPr>
          <w:iCs/>
        </w:rPr>
        <w:t>In Figure 1 we depict</w:t>
      </w:r>
      <w:r w:rsidR="000262CE">
        <w:rPr>
          <w:iCs/>
        </w:rPr>
        <w:t xml:space="preserve"> simulation results </w:t>
      </w:r>
      <w:r w:rsidR="00324794">
        <w:rPr>
          <w:iCs/>
        </w:rPr>
        <w:t xml:space="preserve">for </w:t>
      </w:r>
      <w:r w:rsidR="00EF4666">
        <w:rPr>
          <w:iCs/>
        </w:rPr>
        <w:t xml:space="preserve">the </w:t>
      </w:r>
      <w:r w:rsidR="00324794">
        <w:rPr>
          <w:iCs/>
        </w:rPr>
        <w:t xml:space="preserve">average </w:t>
      </w:r>
      <w:r w:rsidR="00EF4666">
        <w:rPr>
          <w:iCs/>
        </w:rPr>
        <w:t>market price against these two factors</w:t>
      </w:r>
      <w:r w:rsidR="00324794">
        <w:rPr>
          <w:iCs/>
        </w:rPr>
        <w:t>.</w:t>
      </w:r>
      <w:r w:rsidR="000262CE">
        <w:rPr>
          <w:iCs/>
        </w:rPr>
        <w:t xml:space="preserve"> </w:t>
      </w:r>
      <w:r w:rsidR="004B0130">
        <w:rPr>
          <w:iCs/>
        </w:rPr>
        <w:t>U</w:t>
      </w:r>
      <w:r w:rsidR="00DA581E">
        <w:rPr>
          <w:iCs/>
        </w:rPr>
        <w:t>nder</w:t>
      </w:r>
      <w:r w:rsidR="00EF4666">
        <w:rPr>
          <w:iCs/>
        </w:rPr>
        <w:t xml:space="preserve"> certain set of </w:t>
      </w:r>
      <w:r w:rsidR="004B0130">
        <w:rPr>
          <w:iCs/>
        </w:rPr>
        <w:t>assumptions,</w:t>
      </w:r>
      <w:r w:rsidR="00EF4666">
        <w:rPr>
          <w:iCs/>
        </w:rPr>
        <w:t xml:space="preserve"> the impact of </w:t>
      </w:r>
      <w:r w:rsidR="004B0130">
        <w:rPr>
          <w:iCs/>
        </w:rPr>
        <w:t xml:space="preserve">integrating </w:t>
      </w:r>
      <w:r w:rsidR="00EF4666">
        <w:rPr>
          <w:iCs/>
        </w:rPr>
        <w:t xml:space="preserve">more wind energy </w:t>
      </w:r>
      <w:r w:rsidR="000B1FC6">
        <w:rPr>
          <w:iCs/>
        </w:rPr>
        <w:t xml:space="preserve">on market prices </w:t>
      </w:r>
      <w:r w:rsidR="00EF4666">
        <w:rPr>
          <w:iCs/>
        </w:rPr>
        <w:t xml:space="preserve">is not </w:t>
      </w:r>
      <w:r w:rsidR="000B1FC6">
        <w:rPr>
          <w:iCs/>
        </w:rPr>
        <w:t>always clear</w:t>
      </w:r>
      <w:r w:rsidR="00EF4666">
        <w:rPr>
          <w:iCs/>
        </w:rPr>
        <w:t xml:space="preserve">. More precisely, </w:t>
      </w:r>
      <w:r w:rsidR="00DA581E">
        <w:rPr>
          <w:iCs/>
        </w:rPr>
        <w:t xml:space="preserve">in this particular </w:t>
      </w:r>
      <w:r w:rsidR="004B0130">
        <w:rPr>
          <w:iCs/>
        </w:rPr>
        <w:t>example,</w:t>
      </w:r>
      <w:r w:rsidR="00EF4666">
        <w:rPr>
          <w:iCs/>
        </w:rPr>
        <w:t xml:space="preserve"> ownership of up to 60% of wind </w:t>
      </w:r>
      <w:r w:rsidR="00612992">
        <w:rPr>
          <w:iCs/>
        </w:rPr>
        <w:t xml:space="preserve">power </w:t>
      </w:r>
      <w:r w:rsidR="00EF4666">
        <w:rPr>
          <w:iCs/>
        </w:rPr>
        <w:t xml:space="preserve">capacity by conventional </w:t>
      </w:r>
      <w:r w:rsidR="0082762A">
        <w:rPr>
          <w:iCs/>
        </w:rPr>
        <w:t>GF’s</w:t>
      </w:r>
      <w:r w:rsidR="00EF4666">
        <w:rPr>
          <w:iCs/>
        </w:rPr>
        <w:t xml:space="preserve"> lower</w:t>
      </w:r>
      <w:r w:rsidR="00B252D4">
        <w:rPr>
          <w:iCs/>
        </w:rPr>
        <w:t>s</w:t>
      </w:r>
      <w:r w:rsidR="00EF4666">
        <w:rPr>
          <w:iCs/>
        </w:rPr>
        <w:t xml:space="preserve"> </w:t>
      </w:r>
      <w:r w:rsidR="004B0130">
        <w:rPr>
          <w:iCs/>
        </w:rPr>
        <w:t xml:space="preserve">market </w:t>
      </w:r>
      <w:r w:rsidR="00EF4666">
        <w:rPr>
          <w:iCs/>
        </w:rPr>
        <w:t xml:space="preserve">prices while in the opposite </w:t>
      </w:r>
      <w:r w:rsidR="00B252D4">
        <w:rPr>
          <w:iCs/>
        </w:rPr>
        <w:t>case,</w:t>
      </w:r>
      <w:r w:rsidR="00EF4666">
        <w:rPr>
          <w:iCs/>
        </w:rPr>
        <w:t xml:space="preserve"> </w:t>
      </w:r>
      <w:r w:rsidR="00DA581E">
        <w:rPr>
          <w:iCs/>
        </w:rPr>
        <w:t xml:space="preserve">the market price may actually </w:t>
      </w:r>
      <w:r w:rsidR="000B1FC6">
        <w:rPr>
          <w:iCs/>
        </w:rPr>
        <w:t xml:space="preserve">increase. </w:t>
      </w:r>
    </w:p>
    <w:p w:rsidR="00EF4666" w:rsidRPr="0082762A" w:rsidRDefault="00090212" w:rsidP="00E40921">
      <w:pPr>
        <w:pStyle w:val="BodyText2"/>
        <w:spacing w:after="200"/>
        <w:rPr>
          <w:iCs/>
          <w:rtl/>
        </w:rPr>
      </w:pPr>
      <w:r w:rsidRPr="00277C22">
        <w:rPr>
          <w:iCs/>
        </w:rPr>
        <w:t xml:space="preserve">Third, </w:t>
      </w:r>
      <w:r w:rsidR="000B1FC6" w:rsidRPr="00277C22">
        <w:rPr>
          <w:iCs/>
        </w:rPr>
        <w:t xml:space="preserve">we </w:t>
      </w:r>
      <w:r w:rsidR="00E40921" w:rsidRPr="00277C22">
        <w:rPr>
          <w:iCs/>
        </w:rPr>
        <w:t>find</w:t>
      </w:r>
      <w:r w:rsidR="000B1FC6" w:rsidRPr="00277C22">
        <w:rPr>
          <w:iCs/>
        </w:rPr>
        <w:t xml:space="preserve"> that </w:t>
      </w:r>
      <w:r w:rsidRPr="00277C22">
        <w:rPr>
          <w:iCs/>
        </w:rPr>
        <w:t xml:space="preserve">the ratio of </w:t>
      </w:r>
      <w:r w:rsidR="0082762A">
        <w:rPr>
          <w:iCs/>
        </w:rPr>
        <w:t xml:space="preserve">average </w:t>
      </w:r>
      <w:r w:rsidRPr="00277C22">
        <w:rPr>
          <w:iCs/>
        </w:rPr>
        <w:t>price</w:t>
      </w:r>
      <w:r w:rsidR="000262CE" w:rsidRPr="00277C22">
        <w:rPr>
          <w:iCs/>
        </w:rPr>
        <w:t xml:space="preserve"> received by wind energy producer</w:t>
      </w:r>
      <w:r w:rsidR="00E40921" w:rsidRPr="00277C22">
        <w:rPr>
          <w:iCs/>
        </w:rPr>
        <w:t>s</w:t>
      </w:r>
      <w:r w:rsidRPr="00277C22">
        <w:rPr>
          <w:iCs/>
        </w:rPr>
        <w:t xml:space="preserve"> to the average market price</w:t>
      </w:r>
      <w:r w:rsidR="000262CE" w:rsidRPr="00277C22">
        <w:rPr>
          <w:iCs/>
        </w:rPr>
        <w:t xml:space="preserve"> </w:t>
      </w:r>
      <w:r w:rsidR="004B0130" w:rsidRPr="00277C22">
        <w:rPr>
          <w:iCs/>
        </w:rPr>
        <w:t>reveal</w:t>
      </w:r>
      <w:r w:rsidR="00E40921" w:rsidRPr="00277C22">
        <w:rPr>
          <w:iCs/>
        </w:rPr>
        <w:t>s</w:t>
      </w:r>
      <w:r w:rsidR="000262CE" w:rsidRPr="00277C22">
        <w:rPr>
          <w:iCs/>
        </w:rPr>
        <w:t xml:space="preserve"> a picture that does not benefit the former. Not just that average prices for wind energy are consistently low</w:t>
      </w:r>
      <w:r w:rsidR="00E40921" w:rsidRPr="00277C22">
        <w:rPr>
          <w:iCs/>
        </w:rPr>
        <w:t>er</w:t>
      </w:r>
      <w:r w:rsidR="000262CE" w:rsidRPr="00277C22">
        <w:rPr>
          <w:iCs/>
        </w:rPr>
        <w:t xml:space="preserve">, but also the benefits for wind energy </w:t>
      </w:r>
      <w:r w:rsidR="0082762A">
        <w:rPr>
          <w:iCs/>
        </w:rPr>
        <w:t>relies</w:t>
      </w:r>
      <w:r w:rsidR="000262CE" w:rsidRPr="00277C22">
        <w:rPr>
          <w:iCs/>
        </w:rPr>
        <w:t xml:space="preserve"> on the ability of strategic conventional </w:t>
      </w:r>
      <w:r w:rsidR="005C71E1" w:rsidRPr="00277C22">
        <w:rPr>
          <w:iCs/>
        </w:rPr>
        <w:t>GF</w:t>
      </w:r>
      <w:r w:rsidR="00E40921" w:rsidRPr="00277C22">
        <w:rPr>
          <w:iCs/>
        </w:rPr>
        <w:t>s</w:t>
      </w:r>
      <w:r w:rsidR="000262CE" w:rsidRPr="00277C22">
        <w:rPr>
          <w:iCs/>
        </w:rPr>
        <w:t xml:space="preserve"> to manipulate</w:t>
      </w:r>
      <w:r w:rsidR="005C71E1" w:rsidRPr="00277C22">
        <w:rPr>
          <w:iCs/>
        </w:rPr>
        <w:t xml:space="preserve"> prices as</w:t>
      </w:r>
      <w:r w:rsidR="00277C22" w:rsidRPr="00277C22">
        <w:rPr>
          <w:iCs/>
        </w:rPr>
        <w:t xml:space="preserve"> wind </w:t>
      </w:r>
      <w:r w:rsidR="0082762A">
        <w:rPr>
          <w:iCs/>
        </w:rPr>
        <w:t xml:space="preserve">energy </w:t>
      </w:r>
      <w:r w:rsidR="00277C22" w:rsidRPr="00277C22">
        <w:rPr>
          <w:iCs/>
        </w:rPr>
        <w:t>producers revenues depend</w:t>
      </w:r>
      <w:r w:rsidR="005C71E1" w:rsidRPr="00277C22">
        <w:rPr>
          <w:iCs/>
        </w:rPr>
        <w:t xml:space="preserve"> on it.</w:t>
      </w:r>
    </w:p>
    <w:p w:rsidR="005C71E1" w:rsidRDefault="005C71E1" w:rsidP="0050114B">
      <w:pPr>
        <w:pStyle w:val="Heading2"/>
        <w:jc w:val="both"/>
        <w:rPr>
          <w:i w:val="0"/>
          <w:sz w:val="24"/>
          <w:szCs w:val="24"/>
        </w:rPr>
      </w:pPr>
    </w:p>
    <w:p w:rsidR="000262CE" w:rsidRPr="0050114B" w:rsidRDefault="000262CE" w:rsidP="0050114B">
      <w:pPr>
        <w:pStyle w:val="Heading2"/>
        <w:jc w:val="both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Conclusions</w:t>
      </w:r>
    </w:p>
    <w:p w:rsidR="007313DC" w:rsidRDefault="007313DC" w:rsidP="00B252D4">
      <w:pPr>
        <w:pStyle w:val="BodyText2"/>
        <w:spacing w:after="200"/>
        <w:rPr>
          <w:iCs/>
        </w:rPr>
      </w:pPr>
      <w:r>
        <w:rPr>
          <w:iCs/>
        </w:rPr>
        <w:t xml:space="preserve">Our theoretical </w:t>
      </w:r>
      <w:r w:rsidR="00F409F7">
        <w:rPr>
          <w:iCs/>
        </w:rPr>
        <w:t>framework facilitates</w:t>
      </w:r>
      <w:r>
        <w:rPr>
          <w:iCs/>
        </w:rPr>
        <w:t xml:space="preserve"> </w:t>
      </w:r>
      <w:r w:rsidR="00612992">
        <w:rPr>
          <w:iCs/>
        </w:rPr>
        <w:t>greater</w:t>
      </w:r>
      <w:r w:rsidR="00090212">
        <w:rPr>
          <w:iCs/>
        </w:rPr>
        <w:t xml:space="preserve"> </w:t>
      </w:r>
      <w:r>
        <w:rPr>
          <w:iCs/>
        </w:rPr>
        <w:t xml:space="preserve">flexibility in modelling </w:t>
      </w:r>
      <w:r w:rsidR="00090212">
        <w:rPr>
          <w:iCs/>
        </w:rPr>
        <w:t xml:space="preserve">the electric </w:t>
      </w:r>
      <w:r>
        <w:rPr>
          <w:iCs/>
        </w:rPr>
        <w:t>industry structure</w:t>
      </w:r>
      <w:r w:rsidR="00277C22">
        <w:rPr>
          <w:iCs/>
        </w:rPr>
        <w:t xml:space="preserve"> </w:t>
      </w:r>
      <w:r w:rsidR="0082762A">
        <w:rPr>
          <w:iCs/>
        </w:rPr>
        <w:t>with respect to firm number and</w:t>
      </w:r>
      <w:r w:rsidR="00277C22">
        <w:rPr>
          <w:iCs/>
        </w:rPr>
        <w:t xml:space="preserve"> ownership type of wind power capacity</w:t>
      </w:r>
      <w:r w:rsidR="00B252D4">
        <w:rPr>
          <w:iCs/>
        </w:rPr>
        <w:t xml:space="preserve"> (in terms of firm behaviour)</w:t>
      </w:r>
      <w:r>
        <w:rPr>
          <w:iCs/>
        </w:rPr>
        <w:t>. The analytical results</w:t>
      </w:r>
      <w:r w:rsidR="00B252D4">
        <w:rPr>
          <w:iCs/>
        </w:rPr>
        <w:t>,</w:t>
      </w:r>
      <w:r>
        <w:rPr>
          <w:iCs/>
        </w:rPr>
        <w:t xml:space="preserve"> </w:t>
      </w:r>
      <w:r w:rsidR="00B252D4">
        <w:rPr>
          <w:iCs/>
        </w:rPr>
        <w:t>followed by numerical example,</w:t>
      </w:r>
      <w:r>
        <w:rPr>
          <w:iCs/>
        </w:rPr>
        <w:t xml:space="preserve"> </w:t>
      </w:r>
      <w:r w:rsidR="00277C22">
        <w:rPr>
          <w:iCs/>
        </w:rPr>
        <w:t>indicate</w:t>
      </w:r>
      <w:r>
        <w:rPr>
          <w:iCs/>
        </w:rPr>
        <w:t xml:space="preserve"> that it is not always that wind energy brings electricity prices down. Our study portrays the conditions</w:t>
      </w:r>
      <w:r w:rsidR="0082762A">
        <w:rPr>
          <w:iCs/>
        </w:rPr>
        <w:t xml:space="preserve"> </w:t>
      </w:r>
      <w:r w:rsidR="00B252D4">
        <w:rPr>
          <w:iCs/>
        </w:rPr>
        <w:t>for</w:t>
      </w:r>
      <w:r w:rsidR="0082762A">
        <w:rPr>
          <w:iCs/>
        </w:rPr>
        <w:t xml:space="preserve"> which prices are likely to increas</w:t>
      </w:r>
      <w:r>
        <w:rPr>
          <w:iCs/>
        </w:rPr>
        <w:t xml:space="preserve">e. </w:t>
      </w:r>
      <w:r w:rsidR="00612992">
        <w:rPr>
          <w:iCs/>
        </w:rPr>
        <w:t>Actually, t</w:t>
      </w:r>
      <w:r w:rsidR="00090212">
        <w:rPr>
          <w:iCs/>
        </w:rPr>
        <w:t xml:space="preserve">he decrease observed in the cited articles </w:t>
      </w:r>
      <w:r w:rsidR="00612992">
        <w:rPr>
          <w:iCs/>
        </w:rPr>
        <w:t>above</w:t>
      </w:r>
      <w:r w:rsidR="00090212">
        <w:rPr>
          <w:iCs/>
        </w:rPr>
        <w:t xml:space="preserve"> are cases in which </w:t>
      </w:r>
      <w:r w:rsidR="00612992">
        <w:rPr>
          <w:iCs/>
        </w:rPr>
        <w:t xml:space="preserve">wind energy had the ability to mitigate market power. </w:t>
      </w:r>
      <w:r w:rsidR="00277C22">
        <w:rPr>
          <w:iCs/>
        </w:rPr>
        <w:t xml:space="preserve">This </w:t>
      </w:r>
      <w:r w:rsidR="00B252D4">
        <w:rPr>
          <w:iCs/>
        </w:rPr>
        <w:t>occurs</w:t>
      </w:r>
      <w:r w:rsidR="00277C22">
        <w:rPr>
          <w:iCs/>
        </w:rPr>
        <w:t xml:space="preserve"> when the number of firms is large enough</w:t>
      </w:r>
      <w:r w:rsidR="0082762A">
        <w:rPr>
          <w:iCs/>
        </w:rPr>
        <w:t>,</w:t>
      </w:r>
      <w:r w:rsidR="00277C22">
        <w:rPr>
          <w:iCs/>
        </w:rPr>
        <w:t xml:space="preserve"> the ownership of wind energy is sufficiently diversified or </w:t>
      </w:r>
      <w:r w:rsidR="00A65436">
        <w:rPr>
          <w:iCs/>
        </w:rPr>
        <w:t xml:space="preserve">often a </w:t>
      </w:r>
      <w:r w:rsidR="00277C22">
        <w:rPr>
          <w:iCs/>
        </w:rPr>
        <w:t xml:space="preserve">combination of the two. </w:t>
      </w:r>
      <w:r w:rsidR="00A65436">
        <w:rPr>
          <w:iCs/>
        </w:rPr>
        <w:t>Imp</w:t>
      </w:r>
      <w:r w:rsidR="00277C22">
        <w:rPr>
          <w:iCs/>
        </w:rPr>
        <w:t>ortantly, o</w:t>
      </w:r>
      <w:r w:rsidR="00612992">
        <w:rPr>
          <w:iCs/>
        </w:rPr>
        <w:t xml:space="preserve">ur study </w:t>
      </w:r>
      <w:r w:rsidR="00762963">
        <w:rPr>
          <w:iCs/>
          <w:lang w:val="en-US"/>
        </w:rPr>
        <w:t xml:space="preserve">defines the circumstances in which </w:t>
      </w:r>
      <w:r w:rsidR="00817A7E">
        <w:rPr>
          <w:iCs/>
        </w:rPr>
        <w:t>the question who invest</w:t>
      </w:r>
      <w:r w:rsidR="00762963">
        <w:rPr>
          <w:iCs/>
        </w:rPr>
        <w:t>s</w:t>
      </w:r>
      <w:r w:rsidR="00817A7E">
        <w:rPr>
          <w:iCs/>
        </w:rPr>
        <w:t xml:space="preserve"> in wind power capacity may determine </w:t>
      </w:r>
      <w:r w:rsidR="00CE793C">
        <w:rPr>
          <w:iCs/>
          <w:lang w:val="en-US" w:bidi="he-IL"/>
        </w:rPr>
        <w:t>market prices and welfare distribution</w:t>
      </w:r>
      <w:r w:rsidR="00762963">
        <w:rPr>
          <w:iCs/>
        </w:rPr>
        <w:t>.</w:t>
      </w:r>
    </w:p>
    <w:p w:rsidR="00A4374E" w:rsidRDefault="00A4374E" w:rsidP="00277C22">
      <w:pPr>
        <w:pStyle w:val="BodyText2"/>
        <w:spacing w:after="200"/>
        <w:rPr>
          <w:i/>
          <w:sz w:val="24"/>
          <w:szCs w:val="24"/>
        </w:rPr>
      </w:pPr>
      <w:r w:rsidRPr="0078345C">
        <w:rPr>
          <w:rFonts w:asciiTheme="minorBidi" w:eastAsiaTheme="minorEastAsia" w:hAnsiTheme="minorBidi"/>
          <w:i/>
          <w:iCs/>
          <w:noProof/>
          <w:color w:val="FF0000"/>
          <w:sz w:val="24"/>
          <w:szCs w:val="24"/>
          <w:rtl/>
          <w:lang w:val="en-US" w:bidi="he-IL"/>
        </w:rPr>
        <w:drawing>
          <wp:anchor distT="0" distB="0" distL="114300" distR="114300" simplePos="0" relativeHeight="251659264" behindDoc="0" locked="0" layoutInCell="1" allowOverlap="1" wp14:anchorId="3176565A" wp14:editId="23DB86D3">
            <wp:simplePos x="0" y="0"/>
            <wp:positionH relativeFrom="margin">
              <wp:align>center</wp:align>
            </wp:positionH>
            <wp:positionV relativeFrom="paragraph">
              <wp:posOffset>260061</wp:posOffset>
            </wp:positionV>
            <wp:extent cx="4144645" cy="2686050"/>
            <wp:effectExtent l="0" t="0" r="8255" b="0"/>
            <wp:wrapSquare wrapText="bothSides"/>
            <wp:docPr id="3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64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4374E" w:rsidRDefault="00A4374E" w:rsidP="000262CE">
      <w:pPr>
        <w:pStyle w:val="Heading2"/>
        <w:rPr>
          <w:i w:val="0"/>
          <w:sz w:val="24"/>
          <w:szCs w:val="24"/>
        </w:rPr>
      </w:pPr>
    </w:p>
    <w:p w:rsidR="00A4374E" w:rsidRDefault="00A4374E" w:rsidP="000262CE">
      <w:pPr>
        <w:pStyle w:val="Heading2"/>
        <w:rPr>
          <w:i w:val="0"/>
          <w:sz w:val="24"/>
          <w:szCs w:val="24"/>
        </w:rPr>
      </w:pPr>
    </w:p>
    <w:p w:rsidR="00A4374E" w:rsidRDefault="00A4374E" w:rsidP="000262CE">
      <w:pPr>
        <w:pStyle w:val="Heading2"/>
        <w:rPr>
          <w:i w:val="0"/>
          <w:sz w:val="24"/>
          <w:szCs w:val="24"/>
        </w:rPr>
      </w:pPr>
    </w:p>
    <w:p w:rsidR="00A4374E" w:rsidRDefault="00A4374E" w:rsidP="000262CE">
      <w:pPr>
        <w:pStyle w:val="Heading2"/>
        <w:rPr>
          <w:i w:val="0"/>
          <w:sz w:val="24"/>
          <w:szCs w:val="24"/>
        </w:rPr>
      </w:pPr>
    </w:p>
    <w:p w:rsidR="00A4374E" w:rsidRDefault="00A4374E" w:rsidP="000262CE">
      <w:pPr>
        <w:pStyle w:val="Heading2"/>
        <w:rPr>
          <w:i w:val="0"/>
          <w:sz w:val="24"/>
          <w:szCs w:val="24"/>
        </w:rPr>
      </w:pPr>
    </w:p>
    <w:p w:rsidR="00A4374E" w:rsidRDefault="00A4374E" w:rsidP="000262CE">
      <w:pPr>
        <w:pStyle w:val="Heading2"/>
        <w:rPr>
          <w:i w:val="0"/>
          <w:sz w:val="24"/>
          <w:szCs w:val="24"/>
        </w:rPr>
      </w:pPr>
    </w:p>
    <w:p w:rsidR="00A4374E" w:rsidRDefault="00A4374E" w:rsidP="000262CE">
      <w:pPr>
        <w:pStyle w:val="Heading2"/>
        <w:rPr>
          <w:i w:val="0"/>
          <w:sz w:val="24"/>
          <w:szCs w:val="24"/>
        </w:rPr>
      </w:pPr>
    </w:p>
    <w:p w:rsidR="00A4374E" w:rsidRDefault="00A4374E" w:rsidP="000262CE">
      <w:pPr>
        <w:pStyle w:val="Heading2"/>
        <w:rPr>
          <w:i w:val="0"/>
          <w:sz w:val="24"/>
          <w:szCs w:val="24"/>
        </w:rPr>
      </w:pPr>
    </w:p>
    <w:p w:rsidR="00A4374E" w:rsidRDefault="0082762A" w:rsidP="000262CE">
      <w:pPr>
        <w:pStyle w:val="Heading2"/>
        <w:rPr>
          <w:i w:val="0"/>
          <w:sz w:val="24"/>
          <w:szCs w:val="24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5680A" wp14:editId="7C85157B">
                <wp:simplePos x="0" y="0"/>
                <wp:positionH relativeFrom="column">
                  <wp:posOffset>1030605</wp:posOffset>
                </wp:positionH>
                <wp:positionV relativeFrom="paragraph">
                  <wp:posOffset>133523</wp:posOffset>
                </wp:positionV>
                <wp:extent cx="4144645" cy="635"/>
                <wp:effectExtent l="0" t="0" r="8255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46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374E" w:rsidRPr="0082762A" w:rsidRDefault="00A4374E" w:rsidP="00DB3E8B">
                            <w:pPr>
                              <w:pStyle w:val="Caption"/>
                              <w:rPr>
                                <w:color w:val="auto"/>
                              </w:rPr>
                            </w:pPr>
                            <w:r w:rsidRPr="0082762A">
                              <w:rPr>
                                <w:color w:val="auto"/>
                              </w:rPr>
                              <w:t xml:space="preserve">Figure </w:t>
                            </w:r>
                            <w:r w:rsidRPr="0082762A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82762A">
                              <w:rPr>
                                <w:color w:val="auto"/>
                              </w:rPr>
                              <w:instrText xml:space="preserve"> SEQ Figure_1:_ \* ARABIC </w:instrText>
                            </w:r>
                            <w:r w:rsidRPr="0082762A">
                              <w:rPr>
                                <w:color w:val="auto"/>
                              </w:rPr>
                              <w:fldChar w:fldCharType="separate"/>
                            </w:r>
                            <w:r w:rsidR="00E20692">
                              <w:rPr>
                                <w:noProof/>
                                <w:color w:val="auto"/>
                              </w:rPr>
                              <w:t>1</w:t>
                            </w:r>
                            <w:r w:rsidRPr="0082762A">
                              <w:rPr>
                                <w:color w:val="auto"/>
                              </w:rPr>
                              <w:fldChar w:fldCharType="end"/>
                            </w:r>
                            <w:r w:rsidRPr="0082762A">
                              <w:rPr>
                                <w:color w:val="auto"/>
                              </w:rPr>
                              <w:t xml:space="preserve">: Average market price as a function of average wind energy output and wind ownership percentage by conventional </w:t>
                            </w:r>
                            <w:r w:rsidR="00DB3E8B">
                              <w:rPr>
                                <w:color w:val="auto"/>
                              </w:rPr>
                              <w:t>GF</w:t>
                            </w:r>
                            <w:r w:rsidRPr="0082762A">
                              <w:rPr>
                                <w:color w:val="auto"/>
                              </w:rPr>
                              <w:t xml:space="preserve">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95568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1.15pt;margin-top:10.5pt;width:326.3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" stroked="f">
                <v:textbox style="mso-fit-shape-to-text:t" inset="0,0,0,0">
                  <w:txbxContent>
                    <w:p w:rsidR="00A4374E" w:rsidRPr="0082762A" w:rsidRDefault="00A4374E" w:rsidP="00DB3E8B">
                      <w:pPr>
                        <w:pStyle w:val="Caption"/>
                        <w:rPr>
                          <w:color w:val="auto"/>
                        </w:rPr>
                      </w:pPr>
                      <w:r w:rsidRPr="0082762A">
                        <w:rPr>
                          <w:color w:val="auto"/>
                        </w:rPr>
                        <w:t xml:space="preserve">Figure </w:t>
                      </w:r>
                      <w:r w:rsidRPr="0082762A">
                        <w:rPr>
                          <w:color w:val="auto"/>
                        </w:rPr>
                        <w:fldChar w:fldCharType="begin"/>
                      </w:r>
                      <w:r w:rsidRPr="0082762A">
                        <w:rPr>
                          <w:color w:val="auto"/>
                        </w:rPr>
                        <w:instrText xml:space="preserve"> SEQ Figure_1:_ \* ARABIC </w:instrText>
                      </w:r>
                      <w:r w:rsidRPr="0082762A">
                        <w:rPr>
                          <w:color w:val="auto"/>
                        </w:rPr>
                        <w:fldChar w:fldCharType="separate"/>
                      </w:r>
                      <w:r w:rsidR="00E20692">
                        <w:rPr>
                          <w:noProof/>
                          <w:color w:val="auto"/>
                        </w:rPr>
                        <w:t>1</w:t>
                      </w:r>
                      <w:r w:rsidRPr="0082762A">
                        <w:rPr>
                          <w:color w:val="auto"/>
                        </w:rPr>
                        <w:fldChar w:fldCharType="end"/>
                      </w:r>
                      <w:r w:rsidRPr="0082762A">
                        <w:rPr>
                          <w:color w:val="auto"/>
                        </w:rPr>
                        <w:t xml:space="preserve">: Average market price as a function of average wind energy output and wind ownership percentage by conventional </w:t>
                      </w:r>
                      <w:r w:rsidR="00DB3E8B">
                        <w:rPr>
                          <w:color w:val="auto"/>
                        </w:rPr>
                        <w:t>GF</w:t>
                      </w:r>
                      <w:r w:rsidRPr="0082762A">
                        <w:rPr>
                          <w:color w:val="auto"/>
                        </w:rPr>
                        <w:t xml:space="preserve">s.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762A" w:rsidRDefault="0082762A" w:rsidP="000262CE">
      <w:pPr>
        <w:pStyle w:val="Heading2"/>
        <w:rPr>
          <w:i w:val="0"/>
          <w:sz w:val="24"/>
          <w:szCs w:val="24"/>
        </w:rPr>
      </w:pPr>
    </w:p>
    <w:p w:rsidR="000262CE" w:rsidRPr="00D767DA" w:rsidRDefault="000262CE" w:rsidP="000262CE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References</w:t>
      </w:r>
    </w:p>
    <w:p w:rsidR="005C71E1" w:rsidRPr="00A272F5" w:rsidRDefault="005C71E1" w:rsidP="00A272F5">
      <w:pPr>
        <w:pStyle w:val="BodyText2"/>
        <w:spacing w:after="60"/>
        <w:rPr>
          <w:iCs/>
        </w:rPr>
      </w:pPr>
      <w:proofErr w:type="spellStart"/>
      <w:r w:rsidRPr="005C71E1">
        <w:rPr>
          <w:iCs/>
        </w:rPr>
        <w:t>Botterud</w:t>
      </w:r>
      <w:proofErr w:type="spellEnd"/>
      <w:r w:rsidRPr="005C71E1">
        <w:rPr>
          <w:iCs/>
        </w:rPr>
        <w:t xml:space="preserve">, A., Wang, J., Miranda, V., &amp; </w:t>
      </w:r>
      <w:proofErr w:type="spellStart"/>
      <w:r w:rsidRPr="005C71E1">
        <w:rPr>
          <w:iCs/>
        </w:rPr>
        <w:t>Bessa</w:t>
      </w:r>
      <w:proofErr w:type="spellEnd"/>
      <w:r w:rsidRPr="005C71E1">
        <w:rPr>
          <w:iCs/>
        </w:rPr>
        <w:t>, R. J. (2010). Wind power forecasting in US electricity markets. </w:t>
      </w:r>
      <w:r w:rsidRPr="00E20692">
        <w:rPr>
          <w:i/>
        </w:rPr>
        <w:t>The Electricity Journal</w:t>
      </w:r>
      <w:r w:rsidRPr="005C71E1">
        <w:rPr>
          <w:iCs/>
        </w:rPr>
        <w:t>, 23(3), 71-82.</w:t>
      </w:r>
    </w:p>
    <w:p w:rsidR="000262CE" w:rsidRPr="00693B20" w:rsidRDefault="000262CE" w:rsidP="00F80B1B">
      <w:pPr>
        <w:pStyle w:val="BodyText2"/>
        <w:spacing w:after="60"/>
        <w:rPr>
          <w:iCs/>
        </w:rPr>
      </w:pPr>
      <w:r w:rsidRPr="00693B20">
        <w:rPr>
          <w:iCs/>
        </w:rPr>
        <w:t xml:space="preserve">Green, R. &amp; </w:t>
      </w:r>
      <w:proofErr w:type="spellStart"/>
      <w:r w:rsidRPr="00693B20">
        <w:rPr>
          <w:iCs/>
        </w:rPr>
        <w:t>Vasilakos</w:t>
      </w:r>
      <w:proofErr w:type="spellEnd"/>
      <w:r w:rsidRPr="00693B20">
        <w:rPr>
          <w:iCs/>
        </w:rPr>
        <w:t xml:space="preserve">, N., </w:t>
      </w:r>
      <w:r w:rsidR="005C71E1">
        <w:rPr>
          <w:iCs/>
        </w:rPr>
        <w:t>(</w:t>
      </w:r>
      <w:r w:rsidRPr="00693B20">
        <w:rPr>
          <w:iCs/>
        </w:rPr>
        <w:t>2010</w:t>
      </w:r>
      <w:r w:rsidR="005C71E1">
        <w:rPr>
          <w:iCs/>
        </w:rPr>
        <w:t>)</w:t>
      </w:r>
      <w:r w:rsidRPr="00693B20">
        <w:rPr>
          <w:iCs/>
        </w:rPr>
        <w:t xml:space="preserve">. Market behaviour with large amounts of intermittent generation. </w:t>
      </w:r>
      <w:r w:rsidRPr="00E20692">
        <w:rPr>
          <w:i/>
        </w:rPr>
        <w:t>Energy Policy</w:t>
      </w:r>
      <w:r w:rsidRPr="00693B20">
        <w:rPr>
          <w:iCs/>
        </w:rPr>
        <w:t>, pp. Volume 38, Issue 7, Pages 3211–3220.</w:t>
      </w:r>
    </w:p>
    <w:p w:rsidR="000262CE" w:rsidRPr="00693B20" w:rsidRDefault="000262CE" w:rsidP="00F80B1B">
      <w:pPr>
        <w:pStyle w:val="BodyText2"/>
        <w:spacing w:after="60"/>
        <w:rPr>
          <w:iCs/>
        </w:rPr>
      </w:pPr>
      <w:proofErr w:type="spellStart"/>
      <w:r w:rsidRPr="00693B20">
        <w:rPr>
          <w:iCs/>
        </w:rPr>
        <w:t>Olsina</w:t>
      </w:r>
      <w:proofErr w:type="spellEnd"/>
      <w:r w:rsidRPr="00693B20">
        <w:rPr>
          <w:iCs/>
        </w:rPr>
        <w:t xml:space="preserve">, F., </w:t>
      </w:r>
      <w:proofErr w:type="spellStart"/>
      <w:r w:rsidRPr="00693B20">
        <w:rPr>
          <w:iCs/>
        </w:rPr>
        <w:t>Ro¨scher</w:t>
      </w:r>
      <w:proofErr w:type="spellEnd"/>
      <w:r w:rsidRPr="00693B20">
        <w:rPr>
          <w:iCs/>
        </w:rPr>
        <w:t xml:space="preserve">, M., </w:t>
      </w:r>
      <w:proofErr w:type="spellStart"/>
      <w:r w:rsidRPr="00693B20">
        <w:rPr>
          <w:iCs/>
        </w:rPr>
        <w:t>Larisson</w:t>
      </w:r>
      <w:proofErr w:type="spellEnd"/>
      <w:r w:rsidRPr="00693B20">
        <w:rPr>
          <w:iCs/>
        </w:rPr>
        <w:t xml:space="preserve">, C. &amp; </w:t>
      </w:r>
      <w:proofErr w:type="spellStart"/>
      <w:r w:rsidRPr="00693B20">
        <w:rPr>
          <w:iCs/>
        </w:rPr>
        <w:t>Garce´s</w:t>
      </w:r>
      <w:proofErr w:type="spellEnd"/>
      <w:r w:rsidRPr="00693B20">
        <w:rPr>
          <w:iCs/>
        </w:rPr>
        <w:t xml:space="preserve">, F., </w:t>
      </w:r>
      <w:r w:rsidR="005C71E1">
        <w:rPr>
          <w:iCs/>
        </w:rPr>
        <w:t>(</w:t>
      </w:r>
      <w:r w:rsidRPr="00693B20">
        <w:rPr>
          <w:iCs/>
        </w:rPr>
        <w:t>2007</w:t>
      </w:r>
      <w:r w:rsidR="005C71E1">
        <w:rPr>
          <w:iCs/>
        </w:rPr>
        <w:t>)</w:t>
      </w:r>
      <w:r w:rsidRPr="00693B20">
        <w:rPr>
          <w:iCs/>
        </w:rPr>
        <w:t xml:space="preserve">. </w:t>
      </w:r>
      <w:proofErr w:type="gramStart"/>
      <w:r w:rsidRPr="00693B20">
        <w:rPr>
          <w:iCs/>
        </w:rPr>
        <w:t>Short-term optimal wind power generation capacity in liberalized electricity markets.</w:t>
      </w:r>
      <w:proofErr w:type="gramEnd"/>
      <w:r w:rsidRPr="00693B20">
        <w:rPr>
          <w:iCs/>
        </w:rPr>
        <w:t xml:space="preserve"> </w:t>
      </w:r>
      <w:r w:rsidRPr="00E20692">
        <w:rPr>
          <w:i/>
        </w:rPr>
        <w:t>Energy Policy</w:t>
      </w:r>
      <w:r w:rsidRPr="00693B20">
        <w:rPr>
          <w:iCs/>
        </w:rPr>
        <w:t>, pp. 35 (2), 1257–1273.</w:t>
      </w:r>
    </w:p>
    <w:p w:rsidR="005C71E1" w:rsidRDefault="005C71E1" w:rsidP="007E06D7">
      <w:pPr>
        <w:pStyle w:val="BodyText2"/>
        <w:spacing w:after="60"/>
        <w:rPr>
          <w:iCs/>
        </w:rPr>
      </w:pPr>
      <w:r w:rsidRPr="005C71E1">
        <w:rPr>
          <w:iCs/>
        </w:rPr>
        <w:t>Rubin, O. D., &amp; Babcock, B. A. (2013). The impact of expansion of wind power capacity and pricing methods on the efficiency of deregulated electricity markets. </w:t>
      </w:r>
      <w:r w:rsidRPr="00E20692">
        <w:rPr>
          <w:i/>
        </w:rPr>
        <w:t>Energy</w:t>
      </w:r>
      <w:r w:rsidRPr="005C71E1">
        <w:rPr>
          <w:iCs/>
        </w:rPr>
        <w:t>, 59, 676-688.</w:t>
      </w:r>
      <w:r w:rsidRPr="00693B20">
        <w:rPr>
          <w:iCs/>
        </w:rPr>
        <w:t xml:space="preserve"> </w:t>
      </w:r>
    </w:p>
    <w:p w:rsidR="007E06D7" w:rsidRPr="00693B20" w:rsidRDefault="007E06D7" w:rsidP="007E06D7">
      <w:pPr>
        <w:pStyle w:val="BodyText2"/>
        <w:spacing w:after="60"/>
        <w:rPr>
          <w:iCs/>
        </w:rPr>
      </w:pPr>
      <w:proofErr w:type="spellStart"/>
      <w:r w:rsidRPr="00693B20">
        <w:rPr>
          <w:iCs/>
        </w:rPr>
        <w:t>Traber</w:t>
      </w:r>
      <w:proofErr w:type="spellEnd"/>
      <w:r w:rsidRPr="00693B20">
        <w:rPr>
          <w:iCs/>
        </w:rPr>
        <w:t xml:space="preserve">, T. &amp; </w:t>
      </w:r>
      <w:proofErr w:type="spellStart"/>
      <w:r w:rsidRPr="00693B20">
        <w:rPr>
          <w:iCs/>
        </w:rPr>
        <w:t>Kemfert</w:t>
      </w:r>
      <w:proofErr w:type="spellEnd"/>
      <w:r w:rsidRPr="00693B20">
        <w:rPr>
          <w:iCs/>
        </w:rPr>
        <w:t xml:space="preserve">, C., </w:t>
      </w:r>
      <w:r w:rsidR="005C71E1">
        <w:rPr>
          <w:iCs/>
        </w:rPr>
        <w:t>(</w:t>
      </w:r>
      <w:r w:rsidRPr="00693B20">
        <w:rPr>
          <w:iCs/>
        </w:rPr>
        <w:t>2011</w:t>
      </w:r>
      <w:r w:rsidR="005C71E1">
        <w:rPr>
          <w:iCs/>
        </w:rPr>
        <w:t>)</w:t>
      </w:r>
      <w:r w:rsidRPr="00693B20">
        <w:rPr>
          <w:iCs/>
        </w:rPr>
        <w:t xml:space="preserve">. Gone with the Wind? - Electricity Market Prices and Incentives to Invest in Thermal Power Plants under Increasing Wind Energy Supply. </w:t>
      </w:r>
      <w:r w:rsidRPr="00E20692">
        <w:rPr>
          <w:i/>
        </w:rPr>
        <w:t>Energy Economics</w:t>
      </w:r>
      <w:r w:rsidRPr="00693B20">
        <w:rPr>
          <w:iCs/>
        </w:rPr>
        <w:t>, pp. 33 (2): 249-256.</w:t>
      </w:r>
    </w:p>
    <w:p w:rsidR="007E06D7" w:rsidRPr="00693B20" w:rsidRDefault="007E06D7" w:rsidP="007E06D7">
      <w:pPr>
        <w:pStyle w:val="BodyText2"/>
        <w:spacing w:after="60"/>
        <w:rPr>
          <w:iCs/>
        </w:rPr>
      </w:pPr>
      <w:proofErr w:type="spellStart"/>
      <w:r w:rsidRPr="00693B20">
        <w:rPr>
          <w:iCs/>
        </w:rPr>
        <w:t>Twomey</w:t>
      </w:r>
      <w:proofErr w:type="spellEnd"/>
      <w:r w:rsidRPr="00693B20">
        <w:rPr>
          <w:iCs/>
        </w:rPr>
        <w:t xml:space="preserve">, P. &amp; </w:t>
      </w:r>
      <w:proofErr w:type="spellStart"/>
      <w:r w:rsidRPr="00693B20">
        <w:rPr>
          <w:iCs/>
        </w:rPr>
        <w:t>Neuhoff</w:t>
      </w:r>
      <w:proofErr w:type="spellEnd"/>
      <w:r w:rsidRPr="00693B20">
        <w:rPr>
          <w:iCs/>
        </w:rPr>
        <w:t xml:space="preserve">, K., </w:t>
      </w:r>
      <w:r w:rsidR="005C71E1">
        <w:rPr>
          <w:iCs/>
        </w:rPr>
        <w:t>(</w:t>
      </w:r>
      <w:r w:rsidRPr="00693B20">
        <w:rPr>
          <w:iCs/>
        </w:rPr>
        <w:t>2010</w:t>
      </w:r>
      <w:r w:rsidR="005C71E1">
        <w:rPr>
          <w:iCs/>
        </w:rPr>
        <w:t>)</w:t>
      </w:r>
      <w:r w:rsidRPr="00693B20">
        <w:rPr>
          <w:iCs/>
        </w:rPr>
        <w:t xml:space="preserve">. Wind power and market power in competitive markets. </w:t>
      </w:r>
      <w:r w:rsidRPr="00E20692">
        <w:rPr>
          <w:i/>
        </w:rPr>
        <w:t>Energy Policy</w:t>
      </w:r>
      <w:r w:rsidRPr="00693B20">
        <w:rPr>
          <w:iCs/>
        </w:rPr>
        <w:t>, p. 38: 3198–3210.</w:t>
      </w:r>
    </w:p>
    <w:p w:rsidR="00817A7E" w:rsidRPr="00693B20" w:rsidRDefault="00817A7E" w:rsidP="00817A7E">
      <w:pPr>
        <w:pStyle w:val="BodyText2"/>
        <w:spacing w:after="60"/>
        <w:rPr>
          <w:iCs/>
        </w:rPr>
      </w:pPr>
      <w:proofErr w:type="gramStart"/>
      <w:r w:rsidRPr="00693B20">
        <w:rPr>
          <w:iCs/>
        </w:rPr>
        <w:t>Woo,</w:t>
      </w:r>
      <w:proofErr w:type="gramEnd"/>
      <w:r w:rsidRPr="00693B20">
        <w:rPr>
          <w:iCs/>
        </w:rPr>
        <w:t xml:space="preserve"> C., Horowitz, I., Moore, J. &amp; Pacheco, A., </w:t>
      </w:r>
      <w:r w:rsidR="005C71E1">
        <w:rPr>
          <w:iCs/>
        </w:rPr>
        <w:t>(</w:t>
      </w:r>
      <w:r w:rsidRPr="00693B20">
        <w:rPr>
          <w:iCs/>
        </w:rPr>
        <w:t>2011</w:t>
      </w:r>
      <w:r w:rsidR="005C71E1">
        <w:rPr>
          <w:iCs/>
        </w:rPr>
        <w:t>)</w:t>
      </w:r>
      <w:r w:rsidRPr="00693B20">
        <w:rPr>
          <w:iCs/>
        </w:rPr>
        <w:t xml:space="preserve">. The impact of wind generation on the electricity spot-market price level and variance: The Texas experience. </w:t>
      </w:r>
      <w:r w:rsidRPr="00E20692">
        <w:rPr>
          <w:i/>
        </w:rPr>
        <w:t>Energy Policy</w:t>
      </w:r>
      <w:r w:rsidRPr="00693B20">
        <w:rPr>
          <w:iCs/>
        </w:rPr>
        <w:t>, pp. 39 (7), 3939–3944.</w:t>
      </w:r>
    </w:p>
    <w:p w:rsidR="00817A7E" w:rsidRPr="000B1FC6" w:rsidRDefault="00817A7E" w:rsidP="00F80B1B">
      <w:pPr>
        <w:pStyle w:val="BodyText2"/>
        <w:spacing w:after="60"/>
        <w:rPr>
          <w:iCs/>
          <w:color w:val="FF0000"/>
        </w:rPr>
      </w:pPr>
    </w:p>
    <w:p w:rsidR="000262CE" w:rsidRPr="003A428C" w:rsidRDefault="000262CE" w:rsidP="000262CE">
      <w:pPr>
        <w:pStyle w:val="Heading2"/>
        <w:rPr>
          <w:i w:val="0"/>
          <w:sz w:val="24"/>
          <w:szCs w:val="24"/>
        </w:rPr>
      </w:pPr>
      <w:r w:rsidRPr="003A428C">
        <w:rPr>
          <w:i w:val="0"/>
          <w:sz w:val="24"/>
          <w:szCs w:val="24"/>
        </w:rPr>
        <w:t>Acknowledgement</w:t>
      </w:r>
    </w:p>
    <w:p w:rsidR="000262CE" w:rsidRPr="00214CA1" w:rsidRDefault="000262CE" w:rsidP="000262CE">
      <w:r w:rsidRPr="00214CA1">
        <w:t>This research was supported by a Grant from the GIF, the German-Israeli Foundation for Scientific Research and Development.</w:t>
      </w:r>
    </w:p>
    <w:p w:rsidR="00AC1BA3" w:rsidRDefault="00AC1BA3"/>
    <w:sectPr w:rsidR="00AC1BA3" w:rsidSect="000262CE">
      <w:headerReference w:type="first" r:id="rId10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D67" w:rsidRDefault="00BC0D67">
      <w:r>
        <w:separator/>
      </w:r>
    </w:p>
  </w:endnote>
  <w:endnote w:type="continuationSeparator" w:id="0">
    <w:p w:rsidR="00BC0D67" w:rsidRDefault="00BC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D67" w:rsidRDefault="00BC0D67">
      <w:r>
        <w:separator/>
      </w:r>
    </w:p>
  </w:footnote>
  <w:footnote w:type="continuationSeparator" w:id="0">
    <w:p w:rsidR="00BC0D67" w:rsidRDefault="00BC0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12" w:rsidRDefault="00762963" w:rsidP="00DC69F1">
    <w:pPr>
      <w:pStyle w:val="Header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CE"/>
    <w:rsid w:val="00012ECC"/>
    <w:rsid w:val="000262CE"/>
    <w:rsid w:val="00063138"/>
    <w:rsid w:val="000757AB"/>
    <w:rsid w:val="00083CCB"/>
    <w:rsid w:val="00090212"/>
    <w:rsid w:val="000B1FC6"/>
    <w:rsid w:val="00142E72"/>
    <w:rsid w:val="00277C22"/>
    <w:rsid w:val="00284F42"/>
    <w:rsid w:val="002A6CAD"/>
    <w:rsid w:val="002C26FB"/>
    <w:rsid w:val="00324794"/>
    <w:rsid w:val="00490239"/>
    <w:rsid w:val="0049556B"/>
    <w:rsid w:val="004B0130"/>
    <w:rsid w:val="0050114B"/>
    <w:rsid w:val="00544110"/>
    <w:rsid w:val="00571EE7"/>
    <w:rsid w:val="005C61BF"/>
    <w:rsid w:val="005C71E1"/>
    <w:rsid w:val="00612992"/>
    <w:rsid w:val="007313DC"/>
    <w:rsid w:val="0073551A"/>
    <w:rsid w:val="00762963"/>
    <w:rsid w:val="00786CD4"/>
    <w:rsid w:val="007E06D7"/>
    <w:rsid w:val="00817A7E"/>
    <w:rsid w:val="0082762A"/>
    <w:rsid w:val="00883488"/>
    <w:rsid w:val="009504B6"/>
    <w:rsid w:val="009B4E3E"/>
    <w:rsid w:val="00A16EB4"/>
    <w:rsid w:val="00A272F5"/>
    <w:rsid w:val="00A4374E"/>
    <w:rsid w:val="00A65436"/>
    <w:rsid w:val="00A776AA"/>
    <w:rsid w:val="00AC1BA3"/>
    <w:rsid w:val="00AF27D8"/>
    <w:rsid w:val="00B1243B"/>
    <w:rsid w:val="00B252D4"/>
    <w:rsid w:val="00BA3834"/>
    <w:rsid w:val="00BC0D67"/>
    <w:rsid w:val="00CD3F04"/>
    <w:rsid w:val="00CE793C"/>
    <w:rsid w:val="00D14A2F"/>
    <w:rsid w:val="00D31FB2"/>
    <w:rsid w:val="00DA581E"/>
    <w:rsid w:val="00DB3E8B"/>
    <w:rsid w:val="00E20692"/>
    <w:rsid w:val="00E40921"/>
    <w:rsid w:val="00EF4666"/>
    <w:rsid w:val="00F20DB4"/>
    <w:rsid w:val="00F32B43"/>
    <w:rsid w:val="00F409F7"/>
    <w:rsid w:val="00F8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he-IL"/>
      </w:rPr>
    </w:rPrDefault>
    <w:pPrDefault>
      <w:pPr>
        <w:spacing w:after="16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Heading2">
    <w:name w:val="heading 2"/>
    <w:basedOn w:val="Normal"/>
    <w:next w:val="Normal"/>
    <w:link w:val="Heading2Char"/>
    <w:qFormat/>
    <w:rsid w:val="000262CE"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62CE"/>
    <w:rPr>
      <w:rFonts w:eastAsia="Times New Roman" w:cs="Times New Roman"/>
      <w:b/>
      <w:i/>
      <w:szCs w:val="20"/>
      <w:lang w:val="en-GB" w:bidi="ar-SA"/>
    </w:rPr>
  </w:style>
  <w:style w:type="paragraph" w:styleId="Header">
    <w:name w:val="header"/>
    <w:basedOn w:val="Normal"/>
    <w:link w:val="HeaderChar"/>
    <w:rsid w:val="000262CE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rsid w:val="000262CE"/>
    <w:rPr>
      <w:rFonts w:eastAsia="Times New Roman" w:cs="Times New Roman"/>
      <w:sz w:val="16"/>
      <w:szCs w:val="20"/>
      <w:lang w:val="en-GB" w:bidi="ar-SA"/>
    </w:rPr>
  </w:style>
  <w:style w:type="paragraph" w:customStyle="1" w:styleId="copyright">
    <w:name w:val="copyright"/>
    <w:basedOn w:val="Normal"/>
    <w:rsid w:val="000262CE"/>
    <w:pPr>
      <w:spacing w:line="140" w:lineRule="exact"/>
      <w:jc w:val="both"/>
    </w:pPr>
    <w:rPr>
      <w:rFonts w:ascii="Arial" w:hAnsi="Arial"/>
      <w:sz w:val="12"/>
    </w:rPr>
  </w:style>
  <w:style w:type="paragraph" w:styleId="BodyText">
    <w:name w:val="Body Text"/>
    <w:basedOn w:val="Normal"/>
    <w:link w:val="BodyTextChar"/>
    <w:rsid w:val="000262CE"/>
    <w:rPr>
      <w:sz w:val="22"/>
    </w:rPr>
  </w:style>
  <w:style w:type="character" w:customStyle="1" w:styleId="BodyTextChar">
    <w:name w:val="Body Text Char"/>
    <w:basedOn w:val="DefaultParagraphFont"/>
    <w:link w:val="BodyText"/>
    <w:rsid w:val="000262CE"/>
    <w:rPr>
      <w:rFonts w:ascii="Times New Roman" w:eastAsia="Times New Roman" w:hAnsi="Times New Roman" w:cs="Times New Roman"/>
      <w:szCs w:val="20"/>
      <w:lang w:val="en-GB" w:bidi="ar-SA"/>
    </w:rPr>
  </w:style>
  <w:style w:type="paragraph" w:styleId="BodyText2">
    <w:name w:val="Body Text 2"/>
    <w:basedOn w:val="Normal"/>
    <w:link w:val="BodyText2Char"/>
    <w:rsid w:val="000262CE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0262CE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rsid w:val="000262CE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A3834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pple-converted-space">
    <w:name w:val="apple-converted-space"/>
    <w:basedOn w:val="DefaultParagraphFont"/>
    <w:rsid w:val="005C71E1"/>
  </w:style>
  <w:style w:type="paragraph" w:styleId="BalloonText">
    <w:name w:val="Balloon Text"/>
    <w:basedOn w:val="Normal"/>
    <w:link w:val="BalloonTextChar"/>
    <w:uiPriority w:val="99"/>
    <w:semiHidden/>
    <w:unhideWhenUsed/>
    <w:rsid w:val="00571E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E7"/>
    <w:rPr>
      <w:rFonts w:ascii="Segoe UI" w:eastAsia="Times New Roman" w:hAnsi="Segoe UI" w:cs="Segoe UI"/>
      <w:sz w:val="18"/>
      <w:szCs w:val="18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he-IL"/>
      </w:rPr>
    </w:rPrDefault>
    <w:pPrDefault>
      <w:pPr>
        <w:spacing w:after="16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Heading2">
    <w:name w:val="heading 2"/>
    <w:basedOn w:val="Normal"/>
    <w:next w:val="Normal"/>
    <w:link w:val="Heading2Char"/>
    <w:qFormat/>
    <w:rsid w:val="000262CE"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62CE"/>
    <w:rPr>
      <w:rFonts w:eastAsia="Times New Roman" w:cs="Times New Roman"/>
      <w:b/>
      <w:i/>
      <w:szCs w:val="20"/>
      <w:lang w:val="en-GB" w:bidi="ar-SA"/>
    </w:rPr>
  </w:style>
  <w:style w:type="paragraph" w:styleId="Header">
    <w:name w:val="header"/>
    <w:basedOn w:val="Normal"/>
    <w:link w:val="HeaderChar"/>
    <w:rsid w:val="000262CE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rsid w:val="000262CE"/>
    <w:rPr>
      <w:rFonts w:eastAsia="Times New Roman" w:cs="Times New Roman"/>
      <w:sz w:val="16"/>
      <w:szCs w:val="20"/>
      <w:lang w:val="en-GB" w:bidi="ar-SA"/>
    </w:rPr>
  </w:style>
  <w:style w:type="paragraph" w:customStyle="1" w:styleId="copyright">
    <w:name w:val="copyright"/>
    <w:basedOn w:val="Normal"/>
    <w:rsid w:val="000262CE"/>
    <w:pPr>
      <w:spacing w:line="140" w:lineRule="exact"/>
      <w:jc w:val="both"/>
    </w:pPr>
    <w:rPr>
      <w:rFonts w:ascii="Arial" w:hAnsi="Arial"/>
      <w:sz w:val="12"/>
    </w:rPr>
  </w:style>
  <w:style w:type="paragraph" w:styleId="BodyText">
    <w:name w:val="Body Text"/>
    <w:basedOn w:val="Normal"/>
    <w:link w:val="BodyTextChar"/>
    <w:rsid w:val="000262CE"/>
    <w:rPr>
      <w:sz w:val="22"/>
    </w:rPr>
  </w:style>
  <w:style w:type="character" w:customStyle="1" w:styleId="BodyTextChar">
    <w:name w:val="Body Text Char"/>
    <w:basedOn w:val="DefaultParagraphFont"/>
    <w:link w:val="BodyText"/>
    <w:rsid w:val="000262CE"/>
    <w:rPr>
      <w:rFonts w:ascii="Times New Roman" w:eastAsia="Times New Roman" w:hAnsi="Times New Roman" w:cs="Times New Roman"/>
      <w:szCs w:val="20"/>
      <w:lang w:val="en-GB" w:bidi="ar-SA"/>
    </w:rPr>
  </w:style>
  <w:style w:type="paragraph" w:styleId="BodyText2">
    <w:name w:val="Body Text 2"/>
    <w:basedOn w:val="Normal"/>
    <w:link w:val="BodyText2Char"/>
    <w:rsid w:val="000262CE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0262CE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rsid w:val="000262CE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A3834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pple-converted-space">
    <w:name w:val="apple-converted-space"/>
    <w:basedOn w:val="DefaultParagraphFont"/>
    <w:rsid w:val="005C71E1"/>
  </w:style>
  <w:style w:type="paragraph" w:styleId="BalloonText">
    <w:name w:val="Balloon Text"/>
    <w:basedOn w:val="Normal"/>
    <w:link w:val="BalloonTextChar"/>
    <w:uiPriority w:val="99"/>
    <w:semiHidden/>
    <w:unhideWhenUsed/>
    <w:rsid w:val="00571E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E7"/>
    <w:rPr>
      <w:rFonts w:ascii="Segoe UI" w:eastAsia="Times New Roman" w:hAnsi="Segoe UI" w:cs="Segoe UI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ubin@som.bgu.ac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98C3B-2FED-4597-8C04-9F5E3C3F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Ben-Gurion University of the Negev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Ofir Rubin</dc:creator>
  <cp:lastModifiedBy>Ofir Rubin</cp:lastModifiedBy>
  <cp:revision>3</cp:revision>
  <cp:lastPrinted>2014-01-09T14:35:00Z</cp:lastPrinted>
  <dcterms:created xsi:type="dcterms:W3CDTF">2014-04-13T13:37:00Z</dcterms:created>
  <dcterms:modified xsi:type="dcterms:W3CDTF">2014-04-13T13:39:00Z</dcterms:modified>
</cp:coreProperties>
</file>