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44" w:rsidRDefault="00E62244" w:rsidP="00F73B4C">
      <w:pPr>
        <w:framePr w:w="10800" w:h="2142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C22FCA">
        <w:t xml:space="preserve">                      </w:t>
      </w:r>
      <w:r>
        <w:t xml:space="preserve">          </w:t>
      </w:r>
      <w:r>
        <w:tab/>
      </w:r>
    </w:p>
    <w:p w:rsidR="00400FBA" w:rsidRDefault="00364CBE" w:rsidP="00F73B4C">
      <w:pPr>
        <w:pStyle w:val="BodyText"/>
        <w:framePr w:w="10800" w:h="2142" w:hRule="exact" w:hSpace="187" w:wrap="auto" w:vAnchor="page" w:hAnchor="page" w:x="714" w:y="1085"/>
        <w:rPr>
          <w:b/>
          <w:sz w:val="28"/>
          <w:szCs w:val="28"/>
        </w:rPr>
      </w:pPr>
      <w:r>
        <w:rPr>
          <w:b/>
          <w:sz w:val="28"/>
          <w:szCs w:val="28"/>
        </w:rPr>
        <w:t>The Role of CCS in Meeting Clean Energy Standards</w:t>
      </w:r>
    </w:p>
    <w:p w:rsidR="00E76E69" w:rsidRPr="00D767DA" w:rsidRDefault="00364CBE" w:rsidP="00F73B4C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  <w:r w:rsidRPr="00D767DA">
        <w:rPr>
          <w:sz w:val="20"/>
        </w:rPr>
        <w:t xml:space="preserve"> </w:t>
      </w:r>
      <w:r w:rsidR="00C15B21">
        <w:rPr>
          <w:sz w:val="20"/>
        </w:rPr>
        <w:t>Christopher Nichols, National Energy Technology Laboratory, 304 285-4172, Christopher.nichols@netl.doe.gov</w:t>
      </w:r>
    </w:p>
    <w:p w:rsidR="00C15B21" w:rsidRDefault="00C15B21" w:rsidP="00C15B2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 xml:space="preserve">Peter </w:t>
      </w:r>
      <w:proofErr w:type="spellStart"/>
      <w:r>
        <w:rPr>
          <w:sz w:val="20"/>
        </w:rPr>
        <w:t>Balash</w:t>
      </w:r>
      <w:proofErr w:type="spellEnd"/>
      <w:r>
        <w:rPr>
          <w:sz w:val="20"/>
        </w:rPr>
        <w:t>, National Energy Technology Laboratory, 412 386-5753, Peter.balash@netl.doe.gov</w:t>
      </w:r>
      <w:r w:rsidRPr="00D767DA">
        <w:rPr>
          <w:sz w:val="20"/>
        </w:rPr>
        <w:t xml:space="preserve"> </w:t>
      </w:r>
    </w:p>
    <w:p w:rsidR="00A247C7" w:rsidRPr="00C15B21" w:rsidRDefault="00C15B21" w:rsidP="00C15B2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  <w:proofErr w:type="spellStart"/>
      <w:r>
        <w:rPr>
          <w:sz w:val="20"/>
        </w:rPr>
        <w:t>Nadejda</w:t>
      </w:r>
      <w:proofErr w:type="spellEnd"/>
      <w:r>
        <w:rPr>
          <w:sz w:val="20"/>
        </w:rPr>
        <w:t xml:space="preserve"> Victor, IBM, 412 347-2304, </w:t>
      </w:r>
      <w:r w:rsidRPr="00C15B21">
        <w:rPr>
          <w:sz w:val="20"/>
        </w:rPr>
        <w:t>Nadejda.Victor@IB.NETL.DOE.GOV</w:t>
      </w:r>
    </w:p>
    <w:p w:rsidR="00E76E69" w:rsidRDefault="00E76E69">
      <w:pPr>
        <w:pStyle w:val="copyright"/>
      </w:pPr>
    </w:p>
    <w:p w:rsidR="00E62244" w:rsidRPr="00476853" w:rsidRDefault="00101211" w:rsidP="00101211">
      <w:pPr>
        <w:pStyle w:val="Heading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:rsidR="00EA7822" w:rsidRDefault="00EA7822" w:rsidP="00EA7822">
      <w:pPr>
        <w:pStyle w:val="BodyText2"/>
        <w:spacing w:after="200"/>
        <w:rPr>
          <w:lang w:val="en-US"/>
        </w:rPr>
      </w:pPr>
      <w:r w:rsidRPr="00EA7822">
        <w:t>In his recent State of the Union address, President Obama proposed a Clean Energy</w:t>
      </w:r>
      <w:r>
        <w:t xml:space="preserve"> </w:t>
      </w:r>
      <w:r w:rsidRPr="00EA7822">
        <w:t>Standard (CES) to require that 80 percent of the nation’s electricity come from clean</w:t>
      </w:r>
      <w:r>
        <w:t xml:space="preserve"> </w:t>
      </w:r>
      <w:r w:rsidRPr="00EA7822">
        <w:t>energy technologies by 2035.</w:t>
      </w:r>
      <w:r>
        <w:t xml:space="preserve"> </w:t>
      </w:r>
      <w:r w:rsidRPr="00EA7822">
        <w:rPr>
          <w:lang w:val="en-US"/>
        </w:rPr>
        <w:t>Advocates of a CES maintain that requiring the deployment of increasing amounts of</w:t>
      </w:r>
      <w:r>
        <w:rPr>
          <w:lang w:val="en-US"/>
        </w:rPr>
        <w:t xml:space="preserve"> </w:t>
      </w:r>
      <w:r w:rsidRPr="00EA7822">
        <w:rPr>
          <w:lang w:val="en-US"/>
        </w:rPr>
        <w:t>clean electricity can lead to a variety of benefits, such as the reduction of greenhouse</w:t>
      </w:r>
      <w:r>
        <w:rPr>
          <w:lang w:val="en-US"/>
        </w:rPr>
        <w:t xml:space="preserve"> </w:t>
      </w:r>
      <w:r w:rsidRPr="00EA7822">
        <w:rPr>
          <w:lang w:val="en-US"/>
        </w:rPr>
        <w:t>gases and other emissions, as well as an increase in domestic manufacturing of associated</w:t>
      </w:r>
      <w:r>
        <w:rPr>
          <w:lang w:val="en-US"/>
        </w:rPr>
        <w:t xml:space="preserve"> </w:t>
      </w:r>
      <w:r w:rsidRPr="00EA7822">
        <w:rPr>
          <w:lang w:val="en-US"/>
        </w:rPr>
        <w:t>technologies. In contrast, opponents have claimed that a federal electricity mandate,</w:t>
      </w:r>
      <w:r>
        <w:rPr>
          <w:lang w:val="en-US"/>
        </w:rPr>
        <w:t xml:space="preserve"> </w:t>
      </w:r>
      <w:r w:rsidRPr="00EA7822">
        <w:rPr>
          <w:lang w:val="en-US"/>
        </w:rPr>
        <w:t>depending on its design, could pick winners and losers among competing technologies</w:t>
      </w:r>
      <w:r>
        <w:rPr>
          <w:lang w:val="en-US"/>
        </w:rPr>
        <w:t xml:space="preserve"> </w:t>
      </w:r>
      <w:r w:rsidRPr="00EA7822">
        <w:rPr>
          <w:lang w:val="en-US"/>
        </w:rPr>
        <w:t>and serve as a tax that may cause a wealth transfer from those regions of the country</w:t>
      </w:r>
      <w:r>
        <w:rPr>
          <w:lang w:val="en-US"/>
        </w:rPr>
        <w:t xml:space="preserve"> </w:t>
      </w:r>
      <w:r w:rsidRPr="00EA7822">
        <w:rPr>
          <w:lang w:val="en-US"/>
        </w:rPr>
        <w:t>lacking compliant resources.</w:t>
      </w:r>
    </w:p>
    <w:p w:rsidR="000C25E0" w:rsidRPr="00A247C7" w:rsidRDefault="00EA7822" w:rsidP="008C2516">
      <w:pPr>
        <w:pStyle w:val="BodyText2"/>
        <w:spacing w:after="200"/>
        <w:rPr>
          <w:i/>
        </w:rPr>
      </w:pPr>
      <w:r>
        <w:rPr>
          <w:lang w:val="en-US"/>
        </w:rPr>
        <w:t>This paper examines the role that research and development into carbon capture and storage can play within the context of a CES. We used MARKAL to run a number of scenarios comparing various parameters such as CO2 emissions, prices and total system costs in a CES environment.  We compared these parameters in cases where</w:t>
      </w:r>
      <w:r w:rsidR="00BF2362">
        <w:rPr>
          <w:lang w:val="en-US"/>
        </w:rPr>
        <w:t xml:space="preserve"> Carbon Capture and Storage</w:t>
      </w:r>
      <w:r>
        <w:rPr>
          <w:lang w:val="en-US"/>
        </w:rPr>
        <w:t xml:space="preserve"> </w:t>
      </w:r>
      <w:r w:rsidR="00BF2362">
        <w:rPr>
          <w:lang w:val="en-US"/>
        </w:rPr>
        <w:t>(</w:t>
      </w:r>
      <w:r>
        <w:rPr>
          <w:lang w:val="en-US"/>
        </w:rPr>
        <w:t>CCS</w:t>
      </w:r>
      <w:r w:rsidR="00BF2362">
        <w:rPr>
          <w:lang w:val="en-US"/>
        </w:rPr>
        <w:t>)</w:t>
      </w:r>
      <w:r>
        <w:rPr>
          <w:lang w:val="en-US"/>
        </w:rPr>
        <w:t xml:space="preserve"> R&amp;D has successfully brought down the </w:t>
      </w:r>
      <w:r w:rsidR="008C2516">
        <w:rPr>
          <w:lang w:val="en-US"/>
        </w:rPr>
        <w:t xml:space="preserve">cost and improved the performance of CCS technologies.  </w:t>
      </w:r>
    </w:p>
    <w:p w:rsidR="00E62244" w:rsidRPr="00D767DA" w:rsidRDefault="00476853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:rsidR="008C2516" w:rsidRDefault="000F6760" w:rsidP="008C2516">
      <w:pPr>
        <w:pStyle w:val="Heading2"/>
        <w:spacing w:before="0" w:after="0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 xml:space="preserve">The Market Allocation (MARKAL) model will be used to generate future scenario projections incorporating </w:t>
      </w:r>
      <w:proofErr w:type="gramStart"/>
      <w:r>
        <w:rPr>
          <w:rFonts w:ascii="Times New Roman" w:hAnsi="Times New Roman"/>
          <w:b w:val="0"/>
          <w:i w:val="0"/>
          <w:sz w:val="20"/>
        </w:rPr>
        <w:t>the a</w:t>
      </w:r>
      <w:proofErr w:type="gramEnd"/>
      <w:r>
        <w:rPr>
          <w:rFonts w:ascii="Times New Roman" w:hAnsi="Times New Roman"/>
          <w:b w:val="0"/>
          <w:i w:val="0"/>
          <w:sz w:val="20"/>
        </w:rPr>
        <w:t xml:space="preserve"> Clean Energy Standard and advanced R&amp;D cases for CCS. </w:t>
      </w:r>
      <w:r w:rsidRPr="00AB408A">
        <w:rPr>
          <w:rFonts w:ascii="Times New Roman" w:hAnsi="Times New Roman"/>
          <w:b w:val="0"/>
          <w:i w:val="0"/>
          <w:sz w:val="20"/>
        </w:rPr>
        <w:t>MARKAL is a data-driven energy-economic model</w:t>
      </w:r>
      <w:r>
        <w:rPr>
          <w:rFonts w:ascii="Times New Roman" w:hAnsi="Times New Roman"/>
          <w:b w:val="0"/>
          <w:i w:val="0"/>
          <w:sz w:val="20"/>
        </w:rPr>
        <w:t>, used by over 75 institutions in 37 countries</w:t>
      </w:r>
      <w:r w:rsidRPr="00AB408A">
        <w:rPr>
          <w:rFonts w:ascii="Times New Roman" w:hAnsi="Times New Roman"/>
          <w:b w:val="0"/>
          <w:i w:val="0"/>
          <w:sz w:val="20"/>
        </w:rPr>
        <w:t>. The user specifies the energy system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AB408A">
        <w:rPr>
          <w:rFonts w:ascii="Times New Roman" w:hAnsi="Times New Roman"/>
          <w:b w:val="0"/>
          <w:i w:val="0"/>
          <w:sz w:val="20"/>
        </w:rPr>
        <w:t>structure, including resource supplies, energy conversion technologies, end-use energy service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AB408A">
        <w:rPr>
          <w:rFonts w:ascii="Times New Roman" w:hAnsi="Times New Roman"/>
          <w:b w:val="0"/>
          <w:i w:val="0"/>
          <w:sz w:val="20"/>
        </w:rPr>
        <w:t>demands, and the technologies needed to satisfy these demands. The user must also provide data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AB408A">
        <w:rPr>
          <w:rFonts w:ascii="Times New Roman" w:hAnsi="Times New Roman"/>
          <w:b w:val="0"/>
          <w:i w:val="0"/>
          <w:sz w:val="20"/>
        </w:rPr>
        <w:t>to characterize individual technologies and resources, including their fixed and variable costs,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AB408A">
        <w:rPr>
          <w:rFonts w:ascii="Times New Roman" w:hAnsi="Times New Roman"/>
          <w:b w:val="0"/>
          <w:i w:val="0"/>
          <w:sz w:val="20"/>
        </w:rPr>
        <w:t>availability, performance attributes, and pollutant emissions.</w:t>
      </w:r>
      <w:r>
        <w:rPr>
          <w:rFonts w:ascii="Times New Roman" w:hAnsi="Times New Roman"/>
          <w:b w:val="0"/>
          <w:i w:val="0"/>
          <w:sz w:val="20"/>
        </w:rPr>
        <w:t xml:space="preserve">  MARKAL then provides a least-cost combination of technologies to satisfy the given demand.  Using published cost and performance data from systems studies, </w:t>
      </w:r>
      <w:r w:rsidR="00BF2362">
        <w:rPr>
          <w:rFonts w:ascii="Times New Roman" w:hAnsi="Times New Roman"/>
          <w:b w:val="0"/>
          <w:i w:val="0"/>
          <w:sz w:val="20"/>
        </w:rPr>
        <w:t>improvements in the cost and performance of CCS</w:t>
      </w:r>
      <w:r>
        <w:rPr>
          <w:rFonts w:ascii="Times New Roman" w:hAnsi="Times New Roman"/>
          <w:b w:val="0"/>
          <w:i w:val="0"/>
          <w:sz w:val="20"/>
        </w:rPr>
        <w:t xml:space="preserve"> technology will be </w:t>
      </w:r>
      <w:proofErr w:type="spellStart"/>
      <w:r>
        <w:rPr>
          <w:rFonts w:ascii="Times New Roman" w:hAnsi="Times New Roman"/>
          <w:b w:val="0"/>
          <w:i w:val="0"/>
          <w:sz w:val="20"/>
        </w:rPr>
        <w:t>charaterized</w:t>
      </w:r>
      <w:proofErr w:type="spellEnd"/>
      <w:r>
        <w:rPr>
          <w:rFonts w:ascii="Times New Roman" w:hAnsi="Times New Roman"/>
          <w:b w:val="0"/>
          <w:i w:val="0"/>
          <w:sz w:val="20"/>
        </w:rPr>
        <w:t xml:space="preserve"> within the MARKAL framework.  Then, a number of scenarios will be performed to examine the impacts of the new technology under variations in carbon control regimes, </w:t>
      </w:r>
      <w:proofErr w:type="gramStart"/>
      <w:r>
        <w:rPr>
          <w:rFonts w:ascii="Times New Roman" w:hAnsi="Times New Roman"/>
          <w:b w:val="0"/>
          <w:i w:val="0"/>
          <w:sz w:val="20"/>
        </w:rPr>
        <w:t>and  resource</w:t>
      </w:r>
      <w:proofErr w:type="gramEnd"/>
      <w:r>
        <w:rPr>
          <w:rFonts w:ascii="Times New Roman" w:hAnsi="Times New Roman"/>
          <w:b w:val="0"/>
          <w:i w:val="0"/>
          <w:sz w:val="20"/>
        </w:rPr>
        <w:t xml:space="preserve"> price and availability.  </w:t>
      </w:r>
      <w:smartTag w:uri="urn:schemas-microsoft-com:office:smarttags" w:element="place">
        <w:r>
          <w:rPr>
            <w:rFonts w:ascii="Times New Roman" w:hAnsi="Times New Roman"/>
            <w:b w:val="0"/>
            <w:i w:val="0"/>
            <w:sz w:val="20"/>
          </w:rPr>
          <w:t>Para</w:t>
        </w:r>
      </w:smartTag>
      <w:r>
        <w:rPr>
          <w:rFonts w:ascii="Times New Roman" w:hAnsi="Times New Roman"/>
          <w:b w:val="0"/>
          <w:i w:val="0"/>
          <w:sz w:val="20"/>
        </w:rPr>
        <w:t>meters such as price of energy products to consumers (electricity and liquid fuels), CO</w:t>
      </w:r>
      <w:r>
        <w:rPr>
          <w:rFonts w:ascii="Times New Roman" w:hAnsi="Times New Roman"/>
          <w:b w:val="0"/>
          <w:i w:val="0"/>
          <w:sz w:val="20"/>
          <w:vertAlign w:val="subscript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 emission levels and price, and overall energy system costs will be used to assess the value of CCS in the context of a CES.</w:t>
      </w:r>
    </w:p>
    <w:p w:rsidR="008C2516" w:rsidRDefault="008C2516" w:rsidP="008C2516">
      <w:pPr>
        <w:pStyle w:val="Heading2"/>
        <w:spacing w:before="0" w:after="0"/>
        <w:rPr>
          <w:rFonts w:ascii="Times New Roman" w:hAnsi="Times New Roman"/>
          <w:b w:val="0"/>
          <w:i w:val="0"/>
          <w:sz w:val="20"/>
        </w:rPr>
      </w:pPr>
    </w:p>
    <w:p w:rsidR="00476853" w:rsidRPr="00D767DA" w:rsidRDefault="000C25E0" w:rsidP="008C2516">
      <w:pPr>
        <w:pStyle w:val="Heading2"/>
        <w:spacing w:before="0" w:after="0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:rsidR="003201CE" w:rsidRDefault="001347ED" w:rsidP="003201CE">
      <w:pPr>
        <w:pStyle w:val="BodyText2"/>
        <w:spacing w:after="200"/>
      </w:pPr>
      <w:r>
        <w:t>Initial results indicate that under a CES, CCS with both gas and coal plays an important role in the electricity sector, as seen in the figure below:</w:t>
      </w:r>
    </w:p>
    <w:p w:rsidR="001347ED" w:rsidRDefault="001347ED" w:rsidP="001347ED">
      <w:pPr>
        <w:pStyle w:val="BodyText2"/>
        <w:spacing w:after="200"/>
      </w:pPr>
    </w:p>
    <w:p w:rsidR="001347ED" w:rsidRDefault="001347ED" w:rsidP="001347ED">
      <w:pPr>
        <w:pStyle w:val="BodyText2"/>
        <w:spacing w:after="200"/>
      </w:pPr>
    </w:p>
    <w:p w:rsidR="001347ED" w:rsidRDefault="001347ED" w:rsidP="001347ED">
      <w:pPr>
        <w:pStyle w:val="BodyText2"/>
        <w:spacing w:after="20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00.25pt;height:290.25pt;mso-position-horizontal:absolute;mso-position-horizontal-relative:text;mso-position-vertical:absolute;mso-position-vertical-relative:text" o:allowoverlap="f">
            <v:imagedata r:id="rId7" o:title=""/>
          </v:shape>
        </w:pict>
      </w:r>
    </w:p>
    <w:p w:rsidR="001347ED" w:rsidRDefault="001347ED" w:rsidP="001347ED">
      <w:pPr>
        <w:pStyle w:val="BodyText2"/>
        <w:spacing w:after="200"/>
      </w:pPr>
      <w:r w:rsidRPr="00C66F28">
        <w:t>However, a CES does little to reduce emissions from other sectors, especially the transportation sector as seen below:</w:t>
      </w:r>
    </w:p>
    <w:p w:rsidR="00C66F28" w:rsidRPr="00C66F28" w:rsidRDefault="00C66F28" w:rsidP="001347ED">
      <w:pPr>
        <w:pStyle w:val="BodyText2"/>
        <w:spacing w:after="200"/>
      </w:pPr>
      <w:r w:rsidRPr="00C66F28">
        <w:pict>
          <v:shape id="_x0000_i1036" type="#_x0000_t75" style="width:502.5pt;height:290.25pt">
            <v:imagedata r:id="rId8" o:title=""/>
          </v:shape>
        </w:pict>
      </w:r>
    </w:p>
    <w:p w:rsidR="001347ED" w:rsidRPr="001347ED" w:rsidRDefault="001347ED" w:rsidP="001347ED">
      <w:pPr>
        <w:pStyle w:val="BodyText2"/>
        <w:spacing w:after="200"/>
        <w:rPr>
          <w:i/>
        </w:rPr>
      </w:pPr>
    </w:p>
    <w:p w:rsidR="00E62244" w:rsidRDefault="00E62244">
      <w:pPr>
        <w:pStyle w:val="Heading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lastRenderedPageBreak/>
        <w:t>Conclusions</w:t>
      </w:r>
    </w:p>
    <w:p w:rsidR="00C66F28" w:rsidRPr="00C66F28" w:rsidRDefault="00C66F28" w:rsidP="00C66F28">
      <w:r>
        <w:t>Initial results from the model runs indicate that improved CCS technologies would allow for more latitude in achieving CO2 reduction targets and allow the system to meet the constraints of a CES at lower cost.  Also, a CES does virtually nothing to reduce emissions from other sectors, most especially the transportation sector.  Other options must be considered to reduce emissions and improve energy security for these sectors.</w:t>
      </w:r>
    </w:p>
    <w:p w:rsidR="00E62244" w:rsidRPr="00D767DA" w:rsidRDefault="00E62244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:rsidR="00EA7822" w:rsidRPr="00EA7822" w:rsidRDefault="00EA7822" w:rsidP="00EA7822">
      <w:pPr>
        <w:pStyle w:val="BodyText2"/>
        <w:rPr>
          <w:rStyle w:val="Strong"/>
        </w:rPr>
      </w:pPr>
      <w:proofErr w:type="gramStart"/>
      <w:r w:rsidRPr="00EA7822">
        <w:rPr>
          <w:bCs/>
          <w:lang w:val="en-US"/>
        </w:rPr>
        <w:t>Bingaman ,</w:t>
      </w:r>
      <w:proofErr w:type="gramEnd"/>
      <w:r w:rsidRPr="00EA7822">
        <w:rPr>
          <w:bCs/>
          <w:lang w:val="en-US"/>
        </w:rPr>
        <w:t xml:space="preserve"> Jeff and Murkowski , Lisa, 2011, “</w:t>
      </w:r>
      <w:r w:rsidRPr="00BF2362">
        <w:rPr>
          <w:rStyle w:val="Strong"/>
          <w:b w:val="0"/>
        </w:rPr>
        <w:t>Clean Energy Standard (CES) White Paper”</w:t>
      </w:r>
    </w:p>
    <w:p w:rsidR="00EA7822" w:rsidRPr="00EA7822" w:rsidRDefault="00EA7822" w:rsidP="00EA7822">
      <w:pPr>
        <w:pStyle w:val="BodyText2"/>
        <w:rPr>
          <w:bCs/>
          <w:lang w:val="en-US"/>
        </w:rPr>
      </w:pPr>
      <w:hyperlink r:id="rId9" w:history="1">
        <w:r w:rsidRPr="00EA7822">
          <w:rPr>
            <w:rStyle w:val="Hyperlink"/>
            <w:bCs/>
            <w:lang w:val="en-US"/>
          </w:rPr>
          <w:t>http://energy.senate.gov/public/_files/CESWhitePaper.pdf</w:t>
        </w:r>
      </w:hyperlink>
    </w:p>
    <w:p w:rsidR="00EA7822" w:rsidRPr="00EA7822" w:rsidRDefault="00EA7822" w:rsidP="00EA7822">
      <w:pPr>
        <w:pStyle w:val="BodyText2"/>
      </w:pPr>
      <w:r w:rsidRPr="00EA7822">
        <w:rPr>
          <w:bCs/>
          <w:lang w:val="en-US"/>
        </w:rPr>
        <w:t xml:space="preserve"> </w:t>
      </w:r>
    </w:p>
    <w:p w:rsidR="00EA7822" w:rsidRPr="00EA7822" w:rsidRDefault="00EA7822" w:rsidP="00EA7822">
      <w:pPr>
        <w:pStyle w:val="BodyText2"/>
      </w:pPr>
      <w:r w:rsidRPr="00EA7822">
        <w:t xml:space="preserve">World Resources International, 2011, </w:t>
      </w:r>
      <w:proofErr w:type="gramStart"/>
      <w:r w:rsidRPr="00EA7822">
        <w:t>“</w:t>
      </w:r>
      <w:r w:rsidRPr="00EA7822">
        <w:rPr>
          <w:lang w:val="en-US"/>
        </w:rPr>
        <w:t xml:space="preserve"> </w:t>
      </w:r>
      <w:r w:rsidRPr="00EA7822">
        <w:rPr>
          <w:bCs/>
          <w:lang w:val="en-US"/>
        </w:rPr>
        <w:t>Response</w:t>
      </w:r>
      <w:proofErr w:type="gramEnd"/>
      <w:r w:rsidRPr="00EA7822">
        <w:rPr>
          <w:bCs/>
          <w:lang w:val="en-US"/>
        </w:rPr>
        <w:t xml:space="preserve"> to the Committee’s White Paper on a Clean Energy Standard”</w:t>
      </w:r>
    </w:p>
    <w:p w:rsidR="00A247C7" w:rsidRDefault="00EA7822" w:rsidP="008C2516">
      <w:pPr>
        <w:pStyle w:val="BodyText2"/>
        <w:tabs>
          <w:tab w:val="left" w:pos="5505"/>
        </w:tabs>
      </w:pPr>
      <w:hyperlink r:id="rId10" w:history="1">
        <w:r w:rsidRPr="00EA7822">
          <w:rPr>
            <w:rStyle w:val="Hyperlink"/>
          </w:rPr>
          <w:t>http://pdf.wri.org/wri_response_clean_energy_standard.pdf</w:t>
        </w:r>
      </w:hyperlink>
    </w:p>
    <w:p w:rsidR="00A247C7" w:rsidRPr="000C25E0" w:rsidRDefault="00A247C7" w:rsidP="003201CE">
      <w:pPr>
        <w:pStyle w:val="BodyText2"/>
        <w:spacing w:after="200"/>
      </w:pPr>
    </w:p>
    <w:sectPr w:rsidR="00A247C7" w:rsidRPr="000C25E0" w:rsidSect="00E76E69">
      <w:headerReference w:type="default" r:id="rId11"/>
      <w:headerReference w:type="first" r:id="rId12"/>
      <w:type w:val="continuous"/>
      <w:pgSz w:w="12240" w:h="15840"/>
      <w:pgMar w:top="1206" w:right="990" w:bottom="144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ED" w:rsidRDefault="001347ED">
      <w:r>
        <w:separator/>
      </w:r>
    </w:p>
  </w:endnote>
  <w:endnote w:type="continuationSeparator" w:id="0">
    <w:p w:rsidR="001347ED" w:rsidRDefault="0013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ED" w:rsidRDefault="001347ED">
      <w:r>
        <w:separator/>
      </w:r>
    </w:p>
  </w:footnote>
  <w:footnote w:type="continuationSeparator" w:id="0">
    <w:p w:rsidR="001347ED" w:rsidRDefault="00134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ED" w:rsidRDefault="001347ED">
    <w:pPr>
      <w:pStyle w:val="Header"/>
      <w:pBdr>
        <w:bottom w:val="single" w:sz="6" w:space="6" w:color="auto"/>
      </w:pBdr>
      <w:spacing w:after="120"/>
    </w:pPr>
    <w:fldSimple w:instr="page ">
      <w:r w:rsidR="00BF2362">
        <w:rPr>
          <w:noProof/>
        </w:rPr>
        <w:t>3</w:t>
      </w:r>
    </w:fldSimple>
    <w:r>
      <w:rPr>
        <w:caps/>
      </w:rPr>
      <w:t xml:space="preserve">                                   </w:t>
    </w:r>
    <w:r>
      <w:t>Intelligent Well Technology: Status and Opportunities for Developing Marginal Reserves       SPE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ED" w:rsidRDefault="001347ED" w:rsidP="00D767DA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D63ED5"/>
    <w:multiLevelType w:val="hybridMultilevel"/>
    <w:tmpl w:val="6B4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6204CC"/>
    <w:multiLevelType w:val="hybridMultilevel"/>
    <w:tmpl w:val="5B88F87E"/>
    <w:lvl w:ilvl="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AA7558"/>
    <w:multiLevelType w:val="hybridMultilevel"/>
    <w:tmpl w:val="EE18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81A2E"/>
    <w:multiLevelType w:val="hybridMultilevel"/>
    <w:tmpl w:val="60367C9A"/>
    <w:lvl w:ilvl="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2C5EE1"/>
    <w:multiLevelType w:val="hybridMultilevel"/>
    <w:tmpl w:val="323EE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A25F6"/>
    <w:multiLevelType w:val="hybridMultilevel"/>
    <w:tmpl w:val="E99808A0"/>
    <w:lvl w:ilvl="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471"/>
    <w:multiLevelType w:val="hybridMultilevel"/>
    <w:tmpl w:val="D2EC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84757"/>
    <w:multiLevelType w:val="hybridMultilevel"/>
    <w:tmpl w:val="2536FB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EC7B76"/>
    <w:multiLevelType w:val="hybridMultilevel"/>
    <w:tmpl w:val="3C0E52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19490F"/>
    <w:multiLevelType w:val="hybridMultilevel"/>
    <w:tmpl w:val="1E7829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6F4106"/>
    <w:multiLevelType w:val="hybridMultilevel"/>
    <w:tmpl w:val="AA2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5A5B25FE"/>
    <w:multiLevelType w:val="hybridMultilevel"/>
    <w:tmpl w:val="65F2882E"/>
    <w:lvl w:ilvl="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0E750A6"/>
    <w:multiLevelType w:val="hybridMultilevel"/>
    <w:tmpl w:val="F6BAC8B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3A74126"/>
    <w:multiLevelType w:val="hybridMultilevel"/>
    <w:tmpl w:val="2CB4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>
    <w:nsid w:val="6B84080A"/>
    <w:multiLevelType w:val="hybridMultilevel"/>
    <w:tmpl w:val="543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BB7FAC"/>
    <w:multiLevelType w:val="hybridMultilevel"/>
    <w:tmpl w:val="945E665A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579615C"/>
    <w:multiLevelType w:val="hybridMultilevel"/>
    <w:tmpl w:val="B62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oNotTrackMoves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3DE"/>
    <w:rsid w:val="000C25E0"/>
    <w:rsid w:val="000F6760"/>
    <w:rsid w:val="00101211"/>
    <w:rsid w:val="001347ED"/>
    <w:rsid w:val="00167168"/>
    <w:rsid w:val="001A7BFD"/>
    <w:rsid w:val="003201CE"/>
    <w:rsid w:val="003468BB"/>
    <w:rsid w:val="00364CBE"/>
    <w:rsid w:val="00400FBA"/>
    <w:rsid w:val="00476853"/>
    <w:rsid w:val="00502F57"/>
    <w:rsid w:val="005A3B85"/>
    <w:rsid w:val="00810F60"/>
    <w:rsid w:val="008C2516"/>
    <w:rsid w:val="00970B3D"/>
    <w:rsid w:val="00990E46"/>
    <w:rsid w:val="00A247C7"/>
    <w:rsid w:val="00B914FF"/>
    <w:rsid w:val="00BF2362"/>
    <w:rsid w:val="00C15B21"/>
    <w:rsid w:val="00C22FCA"/>
    <w:rsid w:val="00C66F28"/>
    <w:rsid w:val="00C80856"/>
    <w:rsid w:val="00CB6B95"/>
    <w:rsid w:val="00D767DA"/>
    <w:rsid w:val="00D83B67"/>
    <w:rsid w:val="00E62244"/>
    <w:rsid w:val="00E76E69"/>
    <w:rsid w:val="00EA7822"/>
    <w:rsid w:val="00F334B0"/>
    <w:rsid w:val="00F73B4C"/>
    <w:rsid w:val="00FA23DE"/>
    <w:rsid w:val="00FC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20">
    <w:name w:val="Body Text 2"/>
    <w:basedOn w:val="Normal"/>
    <w:pPr>
      <w:ind w:firstLine="360"/>
      <w:jc w:val="both"/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78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df.wri.org/wri_response_clean_energy_standar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ergy.senate.gov/public/_files/CESWhitePape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3905</TotalTime>
  <Pages>3</Pages>
  <Words>563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Nichols</dc:creator>
  <cp:keywords/>
  <cp:lastModifiedBy>Chris Nichols</cp:lastModifiedBy>
  <cp:revision>7</cp:revision>
  <cp:lastPrinted>2007-05-18T01:32:00Z</cp:lastPrinted>
  <dcterms:created xsi:type="dcterms:W3CDTF">2011-05-13T18:52:00Z</dcterms:created>
  <dcterms:modified xsi:type="dcterms:W3CDTF">2011-05-16T14:14:00Z</dcterms:modified>
</cp:coreProperties>
</file>