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E477"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4F6F68C5" w14:textId="77777777" w:rsidR="00DC69F1" w:rsidRDefault="001B63C6" w:rsidP="00863B3B">
      <w:pPr>
        <w:pStyle w:val="BodyText"/>
        <w:framePr w:w="10800" w:h="2142" w:hRule="exact" w:hSpace="187" w:wrap="auto" w:vAnchor="page" w:hAnchor="page" w:x="714" w:y="1085"/>
        <w:rPr>
          <w:b/>
          <w:sz w:val="28"/>
          <w:szCs w:val="28"/>
        </w:rPr>
      </w:pPr>
      <w:r>
        <w:rPr>
          <w:b/>
          <w:sz w:val="28"/>
          <w:szCs w:val="28"/>
        </w:rPr>
        <w:t xml:space="preserve">Economic analysis of energy vs. capacity focussed renewable support policies for the 2030 EU Power </w:t>
      </w:r>
      <w:r w:rsidR="00863B3B" w:rsidRPr="00863B3B">
        <w:rPr>
          <w:b/>
          <w:sz w:val="28"/>
          <w:szCs w:val="28"/>
        </w:rPr>
        <w:t>Market</w:t>
      </w:r>
    </w:p>
    <w:p w14:paraId="0013289C" w14:textId="77777777" w:rsidR="00307874" w:rsidRDefault="00307874" w:rsidP="00307874">
      <w:pPr>
        <w:pStyle w:val="BodyText"/>
        <w:framePr w:w="10800" w:h="2142" w:hRule="exact" w:hSpace="187" w:wrap="auto" w:vAnchor="page" w:hAnchor="page" w:x="714" w:y="1085"/>
        <w:jc w:val="right"/>
        <w:rPr>
          <w:sz w:val="20"/>
        </w:rPr>
      </w:pPr>
      <w:proofErr w:type="spellStart"/>
      <w:r w:rsidRPr="004E19C8">
        <w:rPr>
          <w:sz w:val="20"/>
        </w:rPr>
        <w:t>Özge</w:t>
      </w:r>
      <w:proofErr w:type="spellEnd"/>
      <w:r w:rsidRPr="004E19C8">
        <w:rPr>
          <w:sz w:val="20"/>
        </w:rPr>
        <w:t xml:space="preserve"> </w:t>
      </w:r>
      <w:proofErr w:type="spellStart"/>
      <w:r w:rsidRPr="004E19C8">
        <w:rPr>
          <w:sz w:val="20"/>
        </w:rPr>
        <w:t>Özdemir</w:t>
      </w:r>
      <w:proofErr w:type="spellEnd"/>
      <w:r>
        <w:rPr>
          <w:sz w:val="20"/>
        </w:rPr>
        <w:t>, PBL Netherlands Environmental Assessment Agency</w:t>
      </w:r>
      <w:r w:rsidRPr="00D767DA">
        <w:rPr>
          <w:sz w:val="20"/>
        </w:rPr>
        <w:t xml:space="preserve">, </w:t>
      </w:r>
      <w:r>
        <w:rPr>
          <w:sz w:val="20"/>
        </w:rPr>
        <w:t>+316</w:t>
      </w:r>
      <w:r w:rsidRPr="009168B7">
        <w:rPr>
          <w:sz w:val="20"/>
        </w:rPr>
        <w:t>14380938</w:t>
      </w:r>
      <w:r w:rsidRPr="00D767DA">
        <w:rPr>
          <w:sz w:val="20"/>
        </w:rPr>
        <w:t xml:space="preserve">, </w:t>
      </w:r>
      <w:hyperlink r:id="rId8" w:history="1">
        <w:r w:rsidRPr="00D04FFD">
          <w:rPr>
            <w:rStyle w:val="Hyperlink"/>
            <w:sz w:val="20"/>
          </w:rPr>
          <w:t>ozge.ozdemir@pbl.nl</w:t>
        </w:r>
      </w:hyperlink>
    </w:p>
    <w:p w14:paraId="7A099061" w14:textId="77777777" w:rsidR="00307874" w:rsidRDefault="00307874" w:rsidP="00307874">
      <w:pPr>
        <w:pStyle w:val="BodyText"/>
        <w:framePr w:w="10800" w:h="2142" w:hRule="exact" w:hSpace="187" w:wrap="auto" w:vAnchor="page" w:hAnchor="page" w:x="714" w:y="1085"/>
        <w:jc w:val="right"/>
        <w:rPr>
          <w:sz w:val="20"/>
        </w:rPr>
      </w:pPr>
      <w:r>
        <w:rPr>
          <w:sz w:val="20"/>
        </w:rPr>
        <w:t xml:space="preserve">Benjamin F. Hobbs, </w:t>
      </w:r>
      <w:r w:rsidRPr="00307874">
        <w:rPr>
          <w:sz w:val="20"/>
        </w:rPr>
        <w:t>The Johns Hopkins Uni</w:t>
      </w:r>
      <w:r>
        <w:rPr>
          <w:sz w:val="20"/>
        </w:rPr>
        <w:t>versity</w:t>
      </w:r>
      <w:r w:rsidRPr="00D767DA">
        <w:rPr>
          <w:sz w:val="20"/>
        </w:rPr>
        <w:t xml:space="preserve">, </w:t>
      </w:r>
      <w:r>
        <w:rPr>
          <w:sz w:val="20"/>
        </w:rPr>
        <w:t>1(410) 516</w:t>
      </w:r>
      <w:r w:rsidRPr="00307874">
        <w:rPr>
          <w:sz w:val="20"/>
        </w:rPr>
        <w:t>4681</w:t>
      </w:r>
      <w:r w:rsidRPr="00D767DA">
        <w:rPr>
          <w:sz w:val="20"/>
        </w:rPr>
        <w:t xml:space="preserve">, </w:t>
      </w:r>
      <w:hyperlink r:id="rId9" w:history="1">
        <w:r w:rsidRPr="009637FD">
          <w:rPr>
            <w:rStyle w:val="Hyperlink"/>
            <w:sz w:val="20"/>
          </w:rPr>
          <w:t>bhobbs@jhu.edu</w:t>
        </w:r>
      </w:hyperlink>
    </w:p>
    <w:p w14:paraId="5BF4E3C8" w14:textId="77777777" w:rsidR="00307874" w:rsidRDefault="00307874" w:rsidP="00307874">
      <w:pPr>
        <w:pStyle w:val="BodyText"/>
        <w:framePr w:w="10800" w:h="2142" w:hRule="exact" w:hSpace="187" w:wrap="auto" w:vAnchor="page" w:hAnchor="page" w:x="714" w:y="1085"/>
        <w:ind w:left="1440"/>
        <w:rPr>
          <w:sz w:val="20"/>
        </w:rPr>
      </w:pPr>
      <w:r>
        <w:rPr>
          <w:sz w:val="20"/>
        </w:rPr>
        <w:t xml:space="preserve">           </w:t>
      </w:r>
      <w:proofErr w:type="spellStart"/>
      <w:r>
        <w:rPr>
          <w:sz w:val="20"/>
        </w:rPr>
        <w:t>Marit</w:t>
      </w:r>
      <w:proofErr w:type="spellEnd"/>
      <w:r>
        <w:rPr>
          <w:sz w:val="20"/>
        </w:rPr>
        <w:t xml:space="preserve"> van </w:t>
      </w:r>
      <w:proofErr w:type="spellStart"/>
      <w:r w:rsidRPr="00304D45">
        <w:rPr>
          <w:sz w:val="20"/>
        </w:rPr>
        <w:t>Hout</w:t>
      </w:r>
      <w:proofErr w:type="spellEnd"/>
      <w:r>
        <w:rPr>
          <w:sz w:val="20"/>
        </w:rPr>
        <w:t>, PBL Netherlands Environmental Assessment Agency</w:t>
      </w:r>
      <w:r w:rsidRPr="00D767DA">
        <w:rPr>
          <w:sz w:val="20"/>
        </w:rPr>
        <w:t xml:space="preserve">, </w:t>
      </w:r>
      <w:r>
        <w:rPr>
          <w:sz w:val="20"/>
        </w:rPr>
        <w:t>+31615252993</w:t>
      </w:r>
      <w:r w:rsidRPr="00D767DA">
        <w:rPr>
          <w:sz w:val="20"/>
        </w:rPr>
        <w:t xml:space="preserve">, </w:t>
      </w:r>
      <w:hyperlink r:id="rId10" w:history="1">
        <w:r w:rsidRPr="00D04FFD">
          <w:rPr>
            <w:rStyle w:val="Hyperlink"/>
            <w:sz w:val="20"/>
          </w:rPr>
          <w:t>marit.vanhout@pbl.nl</w:t>
        </w:r>
      </w:hyperlink>
    </w:p>
    <w:p w14:paraId="5CD35196" w14:textId="77777777" w:rsidR="00307874" w:rsidRDefault="00307874" w:rsidP="00307874">
      <w:pPr>
        <w:pStyle w:val="BodyText"/>
        <w:framePr w:w="10800" w:h="2142" w:hRule="exact" w:hSpace="187" w:wrap="auto" w:vAnchor="page" w:hAnchor="page" w:x="714" w:y="1085"/>
        <w:ind w:left="1440"/>
        <w:rPr>
          <w:sz w:val="20"/>
        </w:rPr>
      </w:pPr>
      <w:r>
        <w:rPr>
          <w:sz w:val="20"/>
        </w:rPr>
        <w:t xml:space="preserve">            Paul </w:t>
      </w:r>
      <w:proofErr w:type="spellStart"/>
      <w:r>
        <w:rPr>
          <w:sz w:val="20"/>
        </w:rPr>
        <w:t>Koutstaal</w:t>
      </w:r>
      <w:proofErr w:type="spellEnd"/>
      <w:r>
        <w:rPr>
          <w:sz w:val="20"/>
        </w:rPr>
        <w:t>, PBL Netherlands Environmental Assessment Agency, +316</w:t>
      </w:r>
      <w:r w:rsidRPr="009168B7">
        <w:rPr>
          <w:sz w:val="20"/>
        </w:rPr>
        <w:t>12111627</w:t>
      </w:r>
      <w:r>
        <w:rPr>
          <w:sz w:val="20"/>
        </w:rPr>
        <w:t xml:space="preserve">, </w:t>
      </w:r>
      <w:hyperlink r:id="rId11" w:history="1">
        <w:r w:rsidRPr="00D04FFD">
          <w:rPr>
            <w:rStyle w:val="Hyperlink"/>
            <w:sz w:val="20"/>
          </w:rPr>
          <w:t>paul.koutstaal@pbl.nl</w:t>
        </w:r>
      </w:hyperlink>
    </w:p>
    <w:p w14:paraId="31EDD0D8" w14:textId="77777777" w:rsidR="00307874" w:rsidRPr="00307874" w:rsidRDefault="00307874" w:rsidP="00307874">
      <w:pPr>
        <w:pStyle w:val="BodyText"/>
        <w:framePr w:w="10800" w:h="2142" w:hRule="exact" w:hSpace="187" w:wrap="auto" w:vAnchor="page" w:hAnchor="page" w:x="714" w:y="1085"/>
        <w:jc w:val="right"/>
        <w:rPr>
          <w:sz w:val="20"/>
        </w:rPr>
      </w:pPr>
    </w:p>
    <w:p w14:paraId="0B71B0C9" w14:textId="77777777" w:rsidR="00DC69F1" w:rsidRDefault="00DC69F1">
      <w:pPr>
        <w:pStyle w:val="copyright"/>
      </w:pPr>
    </w:p>
    <w:p w14:paraId="2397B8FB"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0EA0443C" w14:textId="77777777" w:rsidR="006863AE" w:rsidRDefault="005807E3" w:rsidP="009E0675">
      <w:pPr>
        <w:ind w:firstLine="720"/>
        <w:jc w:val="both"/>
      </w:pPr>
      <w:r w:rsidRPr="00684A83">
        <w:t>Policy makers across Europe have implemented renewable support policies with several policy objectives in mind. Among these are achieving ambitious renewable energy targets at the lowest c</w:t>
      </w:r>
      <w:r w:rsidRPr="005807E3">
        <w:t xml:space="preserve">ost and promoting technology </w:t>
      </w:r>
      <w:r w:rsidRPr="00684A83">
        <w:t xml:space="preserve">improvement through learning-by-doing. </w:t>
      </w:r>
      <w:proofErr w:type="spellStart"/>
      <w:r>
        <w:t>Well designed</w:t>
      </w:r>
      <w:proofErr w:type="spellEnd"/>
      <w:r>
        <w:t xml:space="preserve"> s</w:t>
      </w:r>
      <w:r w:rsidRPr="00684A83">
        <w:t>ubsidy</w:t>
      </w:r>
      <w:r w:rsidRPr="005807E3">
        <w:t xml:space="preserve"> mechanisms based on energy out</w:t>
      </w:r>
      <w:r w:rsidRPr="00684A83">
        <w:t xml:space="preserve">put are </w:t>
      </w:r>
      <w:r>
        <w:t xml:space="preserve">argued to be more </w:t>
      </w:r>
      <w:r w:rsidRPr="00684A83">
        <w:t xml:space="preserve">cost-effective </w:t>
      </w:r>
      <w:r>
        <w:t xml:space="preserve">than capacity-oriented policies </w:t>
      </w:r>
      <w:r w:rsidRPr="00684A83">
        <w:t>for achieving a certain renewable energy target in the short run</w:t>
      </w:r>
      <w:r>
        <w:t xml:space="preserve"> (Meus et al. 2018)</w:t>
      </w:r>
      <w:r w:rsidR="00B3693E">
        <w:t>.</w:t>
      </w:r>
      <w:r w:rsidRPr="00684A83">
        <w:t xml:space="preserve"> </w:t>
      </w:r>
      <w:r w:rsidR="00B3693E">
        <w:t>However, i</w:t>
      </w:r>
      <w:r>
        <w:t>f</w:t>
      </w:r>
      <w:r w:rsidRPr="00A6190A">
        <w:t xml:space="preserve"> learning-by-doing is a function of cumulative MW investment rather than cumulative MWh production, then policies that are tied to </w:t>
      </w:r>
      <w:r w:rsidRPr="00956A7C">
        <w:rPr>
          <w:i/>
        </w:rPr>
        <w:t>capacity</w:t>
      </w:r>
      <w:r>
        <w:rPr>
          <w:i/>
        </w:rPr>
        <w:t xml:space="preserve"> installation</w:t>
      </w:r>
      <w:r w:rsidRPr="00A6190A">
        <w:t xml:space="preserve"> rather than </w:t>
      </w:r>
      <w:r>
        <w:rPr>
          <w:i/>
        </w:rPr>
        <w:t xml:space="preserve">energy </w:t>
      </w:r>
      <w:r w:rsidRPr="00956A7C">
        <w:rPr>
          <w:i/>
        </w:rPr>
        <w:t>output</w:t>
      </w:r>
      <w:r w:rsidRPr="00A6190A">
        <w:t xml:space="preserve"> might be more effective in reducing technology costs (</w:t>
      </w:r>
      <w:proofErr w:type="spellStart"/>
      <w:r w:rsidR="00F91432">
        <w:t>Andor</w:t>
      </w:r>
      <w:proofErr w:type="spellEnd"/>
      <w:r w:rsidR="00F91432">
        <w:t xml:space="preserve"> and Voss, 2016</w:t>
      </w:r>
      <w:r w:rsidRPr="00A6190A">
        <w:t>; Huntington</w:t>
      </w:r>
      <w:r>
        <w:t xml:space="preserve"> et al.,</w:t>
      </w:r>
      <w:r w:rsidRPr="00A6190A">
        <w:t xml:space="preserve"> 2017</w:t>
      </w:r>
      <w:r>
        <w:t xml:space="preserve">; </w:t>
      </w:r>
      <w:r w:rsidRPr="00A6190A">
        <w:t>Newbery et al., 201</w:t>
      </w:r>
      <w:r>
        <w:t>8</w:t>
      </w:r>
      <w:r w:rsidRPr="00A6190A">
        <w:t>).</w:t>
      </w:r>
    </w:p>
    <w:p w14:paraId="35667D7A" w14:textId="34D81239" w:rsidR="009E0675" w:rsidRDefault="00684A83" w:rsidP="00D04B74">
      <w:pPr>
        <w:ind w:firstLine="720"/>
        <w:jc w:val="both"/>
      </w:pPr>
      <w:r w:rsidRPr="00684A83">
        <w:t xml:space="preserve">This paper addresses the cost and technology impacts of energy- versus capacity-based renewable policies using a detailed model of market-based generation investment and dispatch in Europe. The choice of capacity vs. energy-based subsidy could significantly affect the amount and mix of renewable energy investment, and its cost. In this paper, we ask what the outcomes would be in a much more realistic context – the European Union (including the UK, Norway, and Switzerland), accounting for varying market conditions, transmission limitations, and renewable energy development opportunities across </w:t>
      </w:r>
      <w:r w:rsidR="00E334C7">
        <w:t>Europe</w:t>
      </w:r>
      <w:r w:rsidRPr="00684A83">
        <w:t xml:space="preserve">. In particular, we compare the impact of energy-focused (feed-in premium or renewable portfolio standard (RPS)) and capacity-focused (investment subsidies) renewable policies upon the EU-wide electric power market in 2030 using an EU-wide transmission-constrained power market equilibrium model. </w:t>
      </w:r>
      <w:r w:rsidR="00544077" w:rsidRPr="00684A83">
        <w:t xml:space="preserve">We also consider </w:t>
      </w:r>
      <w:r w:rsidR="00544077">
        <w:t>a</w:t>
      </w:r>
      <w:r w:rsidR="00544077" w:rsidRPr="00471C4F">
        <w:t xml:space="preserve"> more sophisticated variant</w:t>
      </w:r>
      <w:r w:rsidR="00544077">
        <w:t xml:space="preserve"> of capacity-focused policy</w:t>
      </w:r>
      <w:r w:rsidR="00544077" w:rsidRPr="00471C4F">
        <w:t xml:space="preserve">, </w:t>
      </w:r>
      <w:r w:rsidR="00544077" w:rsidRPr="00AB711A">
        <w:t>promoted by Newbery et al. (2018)</w:t>
      </w:r>
      <w:r w:rsidR="00544077" w:rsidRPr="00471C4F">
        <w:t>,</w:t>
      </w:r>
      <w:r w:rsidR="00544077">
        <w:t xml:space="preserve"> which</w:t>
      </w:r>
      <w:r w:rsidR="00544077" w:rsidRPr="00471C4F">
        <w:t xml:space="preserve"> would pay a per MWh subsidy, but only up to a maximum number of MWh per MW of capacity. </w:t>
      </w:r>
      <w:r w:rsidRPr="00684A83">
        <w:t xml:space="preserve">The specific question we focus on is the following: </w:t>
      </w:r>
      <w:r w:rsidRPr="00D04B74">
        <w:rPr>
          <w:i/>
        </w:rPr>
        <w:t>How do the different policies impact the mix of renewable and non-renewable generation investment</w:t>
      </w:r>
      <w:r w:rsidR="005435C4">
        <w:rPr>
          <w:i/>
        </w:rPr>
        <w:t>s</w:t>
      </w:r>
      <w:r w:rsidRPr="00D04B74">
        <w:rPr>
          <w:i/>
        </w:rPr>
        <w:t>, electricity costs, renewable output, the amount of subsidies, and consumer prices in the year 2030? Specifically, do capacity-based policies result in significantly more investment and possibly learning?</w:t>
      </w:r>
      <w:r w:rsidR="00D04B74">
        <w:t xml:space="preserve"> </w:t>
      </w:r>
      <w:r w:rsidRPr="00684A83">
        <w:t>We also examine the interaction of energy and capacity policies with policies concerning trading of renewable energy credits across country borders. In particular, we evaluate the efficiency of national policy targets for renewable electricity production or capacity (as a whole or per technology) and compare these with a cost-effective EU-wide allocation of renewable energy investment, given resource quality, network constraints and the structure of the electricity system in the various EU countries.</w:t>
      </w:r>
    </w:p>
    <w:p w14:paraId="37E87655" w14:textId="77777777" w:rsidR="00544077" w:rsidRDefault="00544077" w:rsidP="009E0675">
      <w:pPr>
        <w:ind w:firstLine="720"/>
        <w:jc w:val="both"/>
      </w:pPr>
      <w:r w:rsidRPr="00684A83">
        <w:t xml:space="preserve">We use a power market model in order to determine what renewable investments would earn from selling energy and the resulting net costs that the investment must then recover from subsidies. These net costs must account for the value of power at different times and places, which in turn depends on the simultaneous interaction of supply and demand throughout the network; analysis methods that focus only on renewable resource capital and operating costs will miss these crucial interactions. </w:t>
      </w:r>
    </w:p>
    <w:p w14:paraId="6C105984" w14:textId="77777777" w:rsidR="009E0675" w:rsidRPr="00D767DA" w:rsidRDefault="009E0675" w:rsidP="009E0675">
      <w:pPr>
        <w:pStyle w:val="Heading2"/>
        <w:rPr>
          <w:i w:val="0"/>
          <w:sz w:val="24"/>
          <w:szCs w:val="24"/>
        </w:rPr>
      </w:pPr>
      <w:r w:rsidRPr="00D767DA">
        <w:rPr>
          <w:i w:val="0"/>
          <w:sz w:val="24"/>
          <w:szCs w:val="24"/>
        </w:rPr>
        <w:t>Methods</w:t>
      </w:r>
    </w:p>
    <w:p w14:paraId="4A471776" w14:textId="77777777" w:rsidR="009E0675" w:rsidRDefault="009E0675" w:rsidP="004F758C">
      <w:pPr>
        <w:ind w:firstLine="720"/>
        <w:jc w:val="both"/>
      </w:pPr>
      <w:r>
        <w:t>W</w:t>
      </w:r>
      <w:r w:rsidRPr="006C16AF">
        <w:t>e use</w:t>
      </w:r>
      <w:r>
        <w:t xml:space="preserve"> </w:t>
      </w:r>
      <w:r w:rsidRPr="006C16AF">
        <w:t>COMPETES, an EU-wide transmission-constrained power</w:t>
      </w:r>
      <w:r>
        <w:t xml:space="preserve"> market model, which </w:t>
      </w:r>
      <w:r w:rsidRPr="00924708">
        <w:t>represents the EU 28 country market with 22 nodes, considering net transmission capability constraints between countries or regions.</w:t>
      </w:r>
      <w:r>
        <w:t xml:space="preserve"> It </w:t>
      </w:r>
      <w:r w:rsidRPr="00924708">
        <w:t xml:space="preserve">uses a single linear program that is equivalent to a market with profit maximizing generators who invest and operate to maximize profits and a transmission operator who minimizes dispatch costs, all subject to policy constraints such as renewable energy or capacity targets and carbon prices. </w:t>
      </w:r>
      <w:r w:rsidRPr="006C16AF">
        <w:t>The calculated energy prices and renewable subsidies are the result of the clearing of supply and demand for energy as well as for renewable capacity or energy, depending on the policy.</w:t>
      </w:r>
      <w:r w:rsidRPr="00754D90">
        <w:t xml:space="preserve"> </w:t>
      </w:r>
      <w:r w:rsidRPr="00924708">
        <w:t xml:space="preserve">For practicality, </w:t>
      </w:r>
      <w:r>
        <w:t>we use</w:t>
      </w:r>
      <w:r w:rsidRPr="00924708">
        <w:t xml:space="preserve"> a sample of 1200 hours (sampled from eight years of data from </w:t>
      </w:r>
      <w:proofErr w:type="spellStart"/>
      <w:r w:rsidRPr="00924708">
        <w:t>Gorm</w:t>
      </w:r>
      <w:proofErr w:type="spellEnd"/>
      <w:r w:rsidRPr="00924708">
        <w:t xml:space="preserve"> et al., 2015) to capture load and renewable output variability within a year, and a static (single year) equilibrium is calculated for the year 2030 rather than for a multiple year time horizon. </w:t>
      </w:r>
    </w:p>
    <w:p w14:paraId="245BE31C" w14:textId="77777777" w:rsidR="00DC69F1" w:rsidRDefault="00DC69F1" w:rsidP="00DC69F1">
      <w:pPr>
        <w:pStyle w:val="Heading2"/>
        <w:rPr>
          <w:i w:val="0"/>
          <w:sz w:val="24"/>
          <w:szCs w:val="24"/>
        </w:rPr>
      </w:pPr>
      <w:r w:rsidRPr="00D767DA">
        <w:rPr>
          <w:i w:val="0"/>
          <w:sz w:val="24"/>
          <w:szCs w:val="24"/>
        </w:rPr>
        <w:t>Results</w:t>
      </w:r>
    </w:p>
    <w:p w14:paraId="74246975" w14:textId="77777777" w:rsidR="0076198D" w:rsidRDefault="00E330E3" w:rsidP="00072AEA">
      <w:pPr>
        <w:ind w:firstLine="720"/>
        <w:jc w:val="both"/>
      </w:pPr>
      <w:r>
        <w:t xml:space="preserve">Fig. 1 compares the incremental cost of </w:t>
      </w:r>
      <w:r w:rsidR="00D42C3F" w:rsidRPr="00A6190A">
        <w:t xml:space="preserve">EU-wide </w:t>
      </w:r>
      <w:r>
        <w:t xml:space="preserve">renewable </w:t>
      </w:r>
      <w:r w:rsidR="00D42C3F" w:rsidRPr="00A6190A">
        <w:t>support policies achieving alternative levels of renewable energy and capacity targets</w:t>
      </w:r>
      <w:r>
        <w:t xml:space="preserve"> </w:t>
      </w:r>
      <w:r w:rsidR="00991441">
        <w:t>with respect to</w:t>
      </w:r>
      <w:r>
        <w:t xml:space="preserve"> </w:t>
      </w:r>
      <w:r w:rsidRPr="00A6190A">
        <w:t>a baseline scenar</w:t>
      </w:r>
      <w:r>
        <w:t>io of no renewable policies</w:t>
      </w:r>
      <w:r w:rsidR="00D42C3F" w:rsidRPr="00A6190A">
        <w:t>.</w:t>
      </w:r>
      <w:r w:rsidR="00D42C3F">
        <w:t xml:space="preserve"> </w:t>
      </w:r>
      <w:r w:rsidR="00D42C3F" w:rsidRPr="00A6190A">
        <w:t xml:space="preserve">The renewable policies we consider, in general, assume a single EU-wide target without country-specific mandates, and furthermore assume that the same level of subsidy applies to all renewable sources. </w:t>
      </w:r>
    </w:p>
    <w:tbl>
      <w:tblPr>
        <w:tblStyle w:val="TableGrid"/>
        <w:tblpPr w:leftFromText="141" w:rightFromText="141" w:vertAnchor="text" w:horzAnchor="page" w:tblpX="703" w:tblpY="1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4026"/>
      </w:tblGrid>
      <w:tr w:rsidR="00DE4367" w14:paraId="5C132D62" w14:textId="77777777" w:rsidTr="00232769">
        <w:trPr>
          <w:trHeight w:val="1330"/>
        </w:trPr>
        <w:tc>
          <w:tcPr>
            <w:tcW w:w="0" w:type="auto"/>
          </w:tcPr>
          <w:p w14:paraId="33EEA7DD" w14:textId="77777777" w:rsidR="00DE4367" w:rsidRDefault="00DE4367" w:rsidP="00DE4367">
            <w:pPr>
              <w:rPr>
                <w:i/>
              </w:rPr>
            </w:pPr>
            <w:r>
              <w:rPr>
                <w:noProof/>
              </w:rPr>
              <w:lastRenderedPageBreak/>
              <w:drawing>
                <wp:inline distT="0" distB="0" distL="0" distR="0" wp14:anchorId="428703C6" wp14:editId="50A8926E">
                  <wp:extent cx="2447925" cy="2015778"/>
                  <wp:effectExtent l="0" t="0" r="0" b="3810"/>
                  <wp:docPr id="12" name="Picture 4">
                    <a:extLst xmlns:a="http://schemas.openxmlformats.org/drawingml/2006/main">
                      <a:ext uri="{FF2B5EF4-FFF2-40B4-BE49-F238E27FC236}">
                        <a16:creationId xmlns:a16="http://schemas.microsoft.com/office/drawing/2014/main" id="{70FDCC39-9EE4-4459-88EE-08C9E828D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0FDCC39-9EE4-4459-88EE-08C9E828DA7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2015778"/>
                          </a:xfrm>
                          <a:prstGeom prst="rect">
                            <a:avLst/>
                          </a:prstGeom>
                          <a:noFill/>
                          <a:extLst/>
                        </pic:spPr>
                      </pic:pic>
                    </a:graphicData>
                  </a:graphic>
                </wp:inline>
              </w:drawing>
            </w:r>
          </w:p>
        </w:tc>
        <w:tc>
          <w:tcPr>
            <w:tcW w:w="0" w:type="auto"/>
          </w:tcPr>
          <w:p w14:paraId="65AA9496" w14:textId="77777777" w:rsidR="00DE4367" w:rsidRDefault="00DE4367" w:rsidP="00DE4367">
            <w:pPr>
              <w:keepNext/>
              <w:rPr>
                <w:i/>
              </w:rPr>
            </w:pPr>
            <w:r>
              <w:rPr>
                <w:noProof/>
              </w:rPr>
              <w:drawing>
                <wp:inline distT="0" distB="0" distL="0" distR="0" wp14:anchorId="6E065515" wp14:editId="03FAFFA4">
                  <wp:extent cx="2418783" cy="2015490"/>
                  <wp:effectExtent l="0" t="0" r="635" b="3810"/>
                  <wp:docPr id="19" name="Picture 6">
                    <a:extLst xmlns:a="http://schemas.openxmlformats.org/drawingml/2006/main">
                      <a:ext uri="{FF2B5EF4-FFF2-40B4-BE49-F238E27FC236}">
                        <a16:creationId xmlns:a16="http://schemas.microsoft.com/office/drawing/2014/main" id="{4427948C-28DB-4A8F-903C-0C4442CBBE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427948C-28DB-4A8F-903C-0C4442CBBE9F}"/>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8783" cy="2015490"/>
                          </a:xfrm>
                          <a:prstGeom prst="rect">
                            <a:avLst/>
                          </a:prstGeom>
                          <a:noFill/>
                          <a:extLst/>
                        </pic:spPr>
                      </pic:pic>
                    </a:graphicData>
                  </a:graphic>
                </wp:inline>
              </w:drawing>
            </w:r>
          </w:p>
        </w:tc>
      </w:tr>
    </w:tbl>
    <w:p w14:paraId="66C10235" w14:textId="77777777" w:rsidR="0046045B" w:rsidRDefault="0046045B" w:rsidP="00DE4367"/>
    <w:p w14:paraId="157EA3E4" w14:textId="77777777" w:rsidR="007E5D2F" w:rsidRPr="00C9276E" w:rsidRDefault="007E5D2F" w:rsidP="00033DA3">
      <w:pPr>
        <w:pStyle w:val="Caption"/>
        <w:framePr w:w="7710" w:h="301" w:hRule="exact" w:hSpace="142" w:wrap="notBeside" w:vAnchor="text" w:hAnchor="page" w:x="908" w:y="3221"/>
        <w:suppressOverlap/>
        <w:rPr>
          <w:color w:val="000000" w:themeColor="text1"/>
          <w:sz w:val="18"/>
          <w:szCs w:val="18"/>
        </w:rPr>
      </w:pPr>
      <w:r w:rsidRPr="00C9276E">
        <w:rPr>
          <w:color w:val="000000" w:themeColor="text1"/>
          <w:sz w:val="18"/>
          <w:szCs w:val="18"/>
        </w:rPr>
        <w:t xml:space="preserve">Fig. </w:t>
      </w:r>
      <w:r w:rsidRPr="00C9276E">
        <w:rPr>
          <w:color w:val="000000" w:themeColor="text1"/>
          <w:sz w:val="18"/>
          <w:szCs w:val="18"/>
        </w:rPr>
        <w:fldChar w:fldCharType="begin"/>
      </w:r>
      <w:r w:rsidRPr="00C9276E">
        <w:rPr>
          <w:color w:val="000000" w:themeColor="text1"/>
          <w:sz w:val="18"/>
          <w:szCs w:val="18"/>
        </w:rPr>
        <w:instrText xml:space="preserve"> SEQ Fig. \* ARABIC </w:instrText>
      </w:r>
      <w:r w:rsidRPr="00C9276E">
        <w:rPr>
          <w:color w:val="000000" w:themeColor="text1"/>
          <w:sz w:val="18"/>
          <w:szCs w:val="18"/>
        </w:rPr>
        <w:fldChar w:fldCharType="separate"/>
      </w:r>
      <w:r w:rsidRPr="00C9276E">
        <w:rPr>
          <w:noProof/>
          <w:color w:val="000000" w:themeColor="text1"/>
          <w:sz w:val="18"/>
          <w:szCs w:val="18"/>
        </w:rPr>
        <w:t>1</w:t>
      </w:r>
      <w:r w:rsidRPr="00C9276E">
        <w:rPr>
          <w:color w:val="000000" w:themeColor="text1"/>
          <w:sz w:val="18"/>
          <w:szCs w:val="18"/>
        </w:rPr>
        <w:fldChar w:fldCharType="end"/>
      </w:r>
      <w:r w:rsidRPr="00C9276E">
        <w:rPr>
          <w:color w:val="000000" w:themeColor="text1"/>
          <w:sz w:val="18"/>
          <w:szCs w:val="18"/>
        </w:rPr>
        <w:t xml:space="preserve"> Incremental generation cost/</w:t>
      </w:r>
      <w:proofErr w:type="spellStart"/>
      <w:r w:rsidRPr="00C9276E">
        <w:rPr>
          <w:color w:val="000000" w:themeColor="text1"/>
          <w:sz w:val="18"/>
          <w:szCs w:val="18"/>
        </w:rPr>
        <w:t>yr</w:t>
      </w:r>
      <w:proofErr w:type="spellEnd"/>
      <w:r w:rsidRPr="00C9276E">
        <w:rPr>
          <w:color w:val="000000" w:themeColor="text1"/>
          <w:sz w:val="18"/>
          <w:szCs w:val="18"/>
        </w:rPr>
        <w:t xml:space="preserve"> of meeting </w:t>
      </w:r>
      <w:r w:rsidR="00C9276E">
        <w:rPr>
          <w:color w:val="000000" w:themeColor="text1"/>
          <w:sz w:val="18"/>
          <w:szCs w:val="18"/>
        </w:rPr>
        <w:t>MWh vs MW targets under energy vs capacity</w:t>
      </w:r>
      <w:r w:rsidRPr="00C9276E">
        <w:rPr>
          <w:color w:val="000000" w:themeColor="text1"/>
          <w:sz w:val="18"/>
          <w:szCs w:val="18"/>
        </w:rPr>
        <w:t xml:space="preserve"> policies</w:t>
      </w:r>
    </w:p>
    <w:p w14:paraId="3662263D" w14:textId="77777777" w:rsidR="007E5D2F" w:rsidRPr="00C9276E" w:rsidRDefault="007E5D2F" w:rsidP="00033DA3">
      <w:pPr>
        <w:pStyle w:val="Caption"/>
        <w:framePr w:w="7710" w:h="301" w:hRule="exact" w:hSpace="142" w:wrap="notBeside" w:vAnchor="text" w:hAnchor="page" w:x="908" w:y="3221"/>
        <w:suppressOverlap/>
        <w:rPr>
          <w:sz w:val="18"/>
          <w:szCs w:val="18"/>
        </w:rPr>
      </w:pPr>
    </w:p>
    <w:p w14:paraId="7C6421C1" w14:textId="77777777" w:rsidR="0005622C" w:rsidRDefault="0005622C" w:rsidP="00232769">
      <w:pPr>
        <w:jc w:val="both"/>
      </w:pPr>
    </w:p>
    <w:p w14:paraId="6E61C5C7" w14:textId="6B2A93F6" w:rsidR="007E5D2F" w:rsidRPr="00EB1367" w:rsidRDefault="00232769" w:rsidP="00034E64">
      <w:pPr>
        <w:jc w:val="both"/>
      </w:pPr>
      <w:bookmarkStart w:id="0" w:name="_GoBack"/>
      <w:r>
        <w:t xml:space="preserve">Although the capacity-focused </w:t>
      </w:r>
      <w:r w:rsidR="007E5D2F" w:rsidRPr="00EB1367">
        <w:t xml:space="preserve">policies result in similar costs for the less ambitious MWh </w:t>
      </w:r>
      <w:r>
        <w:t xml:space="preserve">targets, they become relatively </w:t>
      </w:r>
      <w:r w:rsidR="007E5D2F" w:rsidRPr="00EB1367">
        <w:t xml:space="preserve">more expensive as the targets get more </w:t>
      </w:r>
      <w:r w:rsidR="00E334C7">
        <w:t>ambitious</w:t>
      </w:r>
      <w:r w:rsidR="007E5D2F" w:rsidRPr="00EB1367">
        <w:t>.</w:t>
      </w:r>
      <w:r w:rsidR="0005622C">
        <w:t xml:space="preserve"> </w:t>
      </w:r>
      <w:r w:rsidR="007E5D2F" w:rsidRPr="00EB1367">
        <w:t xml:space="preserve">Using MWh feed-in premiums rather than capacity payments is cheaper because </w:t>
      </w:r>
      <w:bookmarkEnd w:id="0"/>
      <w:r w:rsidR="007E5D2F" w:rsidRPr="00EB1367">
        <w:t xml:space="preserve">paying for the product that </w:t>
      </w:r>
      <w:r w:rsidR="00C9276E" w:rsidRPr="00EB1367">
        <w:t xml:space="preserve"> </w:t>
      </w:r>
      <w:r w:rsidR="007E5D2F" w:rsidRPr="00EB1367">
        <w:t>contributes directly to a desired target (MWh rather than MW) is the first-best way of meeting that target. We observe a reverse effect if the goal is instead to promote technology improvement through capacity installation. A capacity-focused policy is the cost-effective (first-best) way of reaching a certain capacity level for renewables, whereas achieving the same level of renewable capacity by an energy subsidy is more costly.</w:t>
      </w:r>
    </w:p>
    <w:p w14:paraId="37ED5868" w14:textId="585AD80C" w:rsidR="00E02997" w:rsidRDefault="007E5D2F" w:rsidP="00E02997">
      <w:pPr>
        <w:ind w:firstLine="720"/>
        <w:jc w:val="both"/>
      </w:pPr>
      <w:r w:rsidRPr="00EB1367">
        <w:t>Furthermore</w:t>
      </w:r>
      <w:r w:rsidR="00DE4367" w:rsidRPr="00EB1367">
        <w:t>,</w:t>
      </w:r>
      <w:r w:rsidRPr="00EB1367">
        <w:t xml:space="preserve"> </w:t>
      </w:r>
      <w:r w:rsidR="00540327">
        <w:t xml:space="preserve">a </w:t>
      </w:r>
      <w:r w:rsidRPr="00EB1367">
        <w:t>higher carbon price motivates a greater penetration of renewables (53% of energy compared to 47%) without the need for additional subsidy. Second is that the inefficiency resulting from choosing one type of policy to meet a different type of goal is diminished. Fig. 1 (left) shows that the cost increase from using a capacity auction to meet an energy goal of 65% falls by more than h</w:t>
      </w:r>
      <w:r w:rsidR="00A517B1">
        <w:t>alf, from about €7</w:t>
      </w:r>
      <w:r w:rsidRPr="00EB1367">
        <w:t>B/</w:t>
      </w:r>
      <w:proofErr w:type="spellStart"/>
      <w:r w:rsidRPr="00EB1367">
        <w:t>yr</w:t>
      </w:r>
      <w:proofErr w:type="spellEnd"/>
      <w:r w:rsidRPr="00EB1367">
        <w:t xml:space="preserve"> (</w:t>
      </w:r>
      <w:r w:rsidR="00540327">
        <w:t>with CO</w:t>
      </w:r>
      <w:r w:rsidR="00540327" w:rsidRPr="001E34C7">
        <w:rPr>
          <w:vertAlign w:val="subscript"/>
        </w:rPr>
        <w:t>2</w:t>
      </w:r>
      <w:r w:rsidR="00540327">
        <w:t xml:space="preserve"> price of </w:t>
      </w:r>
      <w:r w:rsidRPr="00EB1367">
        <w:t>€15/tonne) to less than €3B/</w:t>
      </w:r>
      <w:proofErr w:type="spellStart"/>
      <w:r w:rsidRPr="00EB1367">
        <w:t>yr</w:t>
      </w:r>
      <w:proofErr w:type="spellEnd"/>
      <w:r w:rsidRPr="00EB1367">
        <w:t xml:space="preserve"> (</w:t>
      </w:r>
      <w:r w:rsidR="00540327">
        <w:t>with CO</w:t>
      </w:r>
      <w:r w:rsidR="00540327" w:rsidRPr="00D82141">
        <w:rPr>
          <w:vertAlign w:val="subscript"/>
        </w:rPr>
        <w:t>2</w:t>
      </w:r>
      <w:r w:rsidR="00540327">
        <w:t xml:space="preserve"> price of</w:t>
      </w:r>
      <w:r w:rsidR="00540327" w:rsidRPr="00EB1367">
        <w:t xml:space="preserve"> </w:t>
      </w:r>
      <w:r w:rsidRPr="00EB1367">
        <w:t>€42/tonne) (right most points in the figure). Meanwhile, Fig. 1 (right) indicates that</w:t>
      </w:r>
      <w:r w:rsidR="00540327">
        <w:t xml:space="preserve"> </w:t>
      </w:r>
      <w:r w:rsidRPr="00EB1367">
        <w:t>us</w:t>
      </w:r>
      <w:r w:rsidR="00540327">
        <w:t>ing</w:t>
      </w:r>
      <w:r w:rsidRPr="00EB1367">
        <w:t xml:space="preserve"> an RPS energy-based policy to meet a capacity goal of 377 GW of renewable investment</w:t>
      </w:r>
      <w:r w:rsidR="00540327">
        <w:t>s</w:t>
      </w:r>
      <w:r w:rsidRPr="00EB1367">
        <w:t xml:space="preserve"> would cost about €3B/</w:t>
      </w:r>
      <w:proofErr w:type="spellStart"/>
      <w:r w:rsidRPr="00EB1367">
        <w:t>yr</w:t>
      </w:r>
      <w:proofErr w:type="spellEnd"/>
      <w:r w:rsidRPr="00EB1367">
        <w:t xml:space="preserve"> more than using a capacity policy under the lower carbon price, and only about €1.5B/</w:t>
      </w:r>
      <w:proofErr w:type="spellStart"/>
      <w:r w:rsidRPr="00EB1367">
        <w:t>yr</w:t>
      </w:r>
      <w:proofErr w:type="spellEnd"/>
      <w:r w:rsidRPr="00EB1367">
        <w:t xml:space="preserve"> more under the higher </w:t>
      </w:r>
      <w:r w:rsidR="00540327">
        <w:t xml:space="preserve">carbon </w:t>
      </w:r>
      <w:r w:rsidRPr="00EB1367">
        <w:t>price. Thus, our conclusion that there are inefficiencies on the order of a billion €/</w:t>
      </w:r>
      <w:proofErr w:type="spellStart"/>
      <w:r w:rsidRPr="00EB1367">
        <w:t>yr</w:t>
      </w:r>
      <w:proofErr w:type="spellEnd"/>
      <w:r w:rsidRPr="00EB1367">
        <w:t xml:space="preserve"> from using one kind of policy to meet an ambitious goal of the other type still holds, but the magnitude of the effect is less.</w:t>
      </w:r>
    </w:p>
    <w:p w14:paraId="27656407" w14:textId="77777777" w:rsidR="00232769" w:rsidRDefault="00CC0C71" w:rsidP="00BD2BA8">
      <w:pPr>
        <w:ind w:firstLine="720"/>
        <w:jc w:val="both"/>
        <w:rPr>
          <w:color w:val="000000"/>
        </w:rPr>
      </w:pPr>
      <w:r>
        <w:t xml:space="preserve">In sensitivity analyses, we </w:t>
      </w:r>
      <w:r w:rsidR="00E02997">
        <w:t xml:space="preserve">also </w:t>
      </w:r>
      <w:r>
        <w:t>consider country- and tec</w:t>
      </w:r>
      <w:r w:rsidR="00E02997">
        <w:t>hnology-specific targets</w:t>
      </w:r>
      <w:r w:rsidR="0073398F">
        <w:t xml:space="preserve"> </w:t>
      </w:r>
      <w:r w:rsidR="0073398F">
        <w:rPr>
          <w:color w:val="000000"/>
        </w:rPr>
        <w:t>without trading renewable credits, consistent with present national targets compiled by ENTSO-E (</w:t>
      </w:r>
      <w:r w:rsidR="00F91432">
        <w:t xml:space="preserve">i.e., </w:t>
      </w:r>
      <w:r w:rsidR="00F91432" w:rsidRPr="00A6190A">
        <w:t>Sustainable Transition (ST) scenario</w:t>
      </w:r>
      <w:r w:rsidR="0073398F">
        <w:rPr>
          <w:color w:val="000000"/>
        </w:rPr>
        <w:t>)</w:t>
      </w:r>
      <w:r w:rsidR="00034865">
        <w:t xml:space="preserve">. This </w:t>
      </w:r>
      <w:r w:rsidR="004932C7" w:rsidRPr="00A6190A">
        <w:t>achieve</w:t>
      </w:r>
      <w:r w:rsidR="00034865">
        <w:t>s</w:t>
      </w:r>
      <w:r w:rsidR="004932C7" w:rsidRPr="00A6190A">
        <w:t xml:space="preserve"> a 52.7% EU-wide renewable </w:t>
      </w:r>
      <w:r w:rsidR="004932C7">
        <w:t>electricity</w:t>
      </w:r>
      <w:r w:rsidR="004932C7" w:rsidRPr="00A6190A">
        <w:t xml:space="preserve"> share with 225</w:t>
      </w:r>
      <w:r w:rsidR="004932C7">
        <w:t xml:space="preserve"> </w:t>
      </w:r>
      <w:r w:rsidR="004932C7" w:rsidRPr="00A6190A">
        <w:t xml:space="preserve">GW </w:t>
      </w:r>
      <w:r w:rsidR="004932C7">
        <w:t xml:space="preserve">of </w:t>
      </w:r>
      <w:r w:rsidR="004932C7" w:rsidRPr="00A6190A">
        <w:t>new renewable capacity investments at an incremental cost of 8.5 B€/</w:t>
      </w:r>
      <w:proofErr w:type="spellStart"/>
      <w:r w:rsidR="004932C7" w:rsidRPr="00A6190A">
        <w:t>yr</w:t>
      </w:r>
      <w:proofErr w:type="spellEnd"/>
      <w:r w:rsidR="004932C7" w:rsidRPr="00A6190A">
        <w:t xml:space="preserve"> compared to the baseline scenario. </w:t>
      </w:r>
      <w:r w:rsidR="004932C7">
        <w:t>This</w:t>
      </w:r>
      <w:r w:rsidR="00EE3149">
        <w:t xml:space="preserve"> cost</w:t>
      </w:r>
      <w:r w:rsidR="00EE3149" w:rsidRPr="00A6190A">
        <w:t xml:space="preserve"> is about </w:t>
      </w:r>
      <w:r w:rsidR="00EE3149" w:rsidRPr="00342EFF">
        <w:rPr>
          <w:i/>
        </w:rPr>
        <w:t>seven</w:t>
      </w:r>
      <w:r w:rsidR="00EE3149" w:rsidRPr="00A6190A">
        <w:t xml:space="preserve"> times higher than the incremental cost of achieving the same level of renewable share by an EU-wide RPS mechanism </w:t>
      </w:r>
      <w:r w:rsidR="00EE3149">
        <w:t xml:space="preserve">(1.2 </w:t>
      </w:r>
      <w:r w:rsidR="00EE3149" w:rsidRPr="00A6190A">
        <w:t>B€/</w:t>
      </w:r>
      <w:proofErr w:type="spellStart"/>
      <w:r w:rsidR="00EE3149" w:rsidRPr="00A6190A">
        <w:t>yr</w:t>
      </w:r>
      <w:proofErr w:type="spellEnd"/>
      <w:r w:rsidR="00EE3149">
        <w:t xml:space="preserve">). </w:t>
      </w:r>
      <w:r w:rsidR="0058010C">
        <w:t xml:space="preserve">Moreover, the incremental cost of country-specific targets is </w:t>
      </w:r>
      <w:r w:rsidR="0058010C" w:rsidRPr="00342EFF">
        <w:rPr>
          <w:i/>
        </w:rPr>
        <w:t>four</w:t>
      </w:r>
      <w:r w:rsidR="0058010C" w:rsidRPr="00A6190A">
        <w:t xml:space="preserve"> times higher than the incremental cost of achieving the same level of renewable capacity by an EU-wide capacity auction</w:t>
      </w:r>
      <w:r w:rsidR="0058010C">
        <w:t xml:space="preserve"> (2.0 </w:t>
      </w:r>
      <w:r w:rsidR="0058010C" w:rsidRPr="00A6190A">
        <w:t>B€/</w:t>
      </w:r>
      <w:proofErr w:type="spellStart"/>
      <w:r w:rsidR="0058010C" w:rsidRPr="00A6190A">
        <w:t>yr</w:t>
      </w:r>
      <w:proofErr w:type="spellEnd"/>
      <w:r w:rsidR="0058010C">
        <w:t>)</w:t>
      </w:r>
      <w:r w:rsidR="0058010C" w:rsidRPr="00A6190A">
        <w:t xml:space="preserve">. </w:t>
      </w:r>
      <w:r w:rsidR="0058010C">
        <w:t xml:space="preserve">In this case, </w:t>
      </w:r>
      <w:r w:rsidR="00405FA9">
        <w:t xml:space="preserve">an </w:t>
      </w:r>
      <w:r w:rsidR="0058010C">
        <w:t>EU-wide capacity auction actually achieves a higher renewable share (54%) than the national targets</w:t>
      </w:r>
      <w:r w:rsidR="00034865">
        <w:t xml:space="preserve">. </w:t>
      </w:r>
      <w:r w:rsidR="00034865">
        <w:rPr>
          <w:color w:val="000000"/>
        </w:rPr>
        <w:t>Roughly half of the cost increase is due to cost-ineffective technology mixes, and the other half is due to cost-ineffective locations</w:t>
      </w:r>
      <w:r w:rsidR="00232769">
        <w:rPr>
          <w:color w:val="000000"/>
        </w:rPr>
        <w:t xml:space="preserve">. </w:t>
      </w:r>
    </w:p>
    <w:p w14:paraId="77BB16A3" w14:textId="77777777" w:rsidR="00DC69F1" w:rsidRPr="00D767DA" w:rsidRDefault="00DC69F1">
      <w:pPr>
        <w:pStyle w:val="Heading2"/>
        <w:jc w:val="both"/>
        <w:rPr>
          <w:i w:val="0"/>
          <w:sz w:val="24"/>
          <w:szCs w:val="24"/>
        </w:rPr>
      </w:pPr>
      <w:r w:rsidRPr="00D767DA">
        <w:rPr>
          <w:i w:val="0"/>
          <w:sz w:val="24"/>
          <w:szCs w:val="24"/>
        </w:rPr>
        <w:t>Conclusions</w:t>
      </w:r>
    </w:p>
    <w:p w14:paraId="5F6070F6" w14:textId="77777777" w:rsidR="00DC69F1" w:rsidRDefault="00942D46" w:rsidP="00942D46">
      <w:pPr>
        <w:ind w:firstLine="720"/>
        <w:jc w:val="both"/>
      </w:pPr>
      <w:r w:rsidRPr="00942D46">
        <w:t>Our findings show that the efficiency of energy vs capacity-focussed renewable policies depends on the EU’s renewable energy goals. If the goal is to reach a certain share of renewable energy in total consumption, it is more efficient to use an energy subsidy to achieve a given renewable share target than to use capacity-based mechanisms. If the objective is to promote technology improvement through capacity installation, then it can be significantly less expensive to use capacity subsidy mechanisms to achieve a given capacity installation goal than to use an approach based on renewable energy subsidy. Moreover, the country-specific targets without renewable energy credit trading greatly increase the cost of renewable policies. Our analysis shows that there is considerable room for coordinating and improving renewable energy policies within Europe which will help reduce the total costs of realizing renewable energy production.</w:t>
      </w:r>
    </w:p>
    <w:p w14:paraId="11DA700D" w14:textId="77777777" w:rsidR="00DC69F1" w:rsidRPr="00D767DA" w:rsidRDefault="00DC69F1">
      <w:pPr>
        <w:pStyle w:val="Heading2"/>
        <w:rPr>
          <w:i w:val="0"/>
          <w:sz w:val="24"/>
          <w:szCs w:val="24"/>
        </w:rPr>
      </w:pPr>
      <w:r w:rsidRPr="00D767DA">
        <w:rPr>
          <w:i w:val="0"/>
          <w:sz w:val="24"/>
          <w:szCs w:val="24"/>
        </w:rPr>
        <w:t>References</w:t>
      </w:r>
    </w:p>
    <w:p w14:paraId="04095EAB" w14:textId="77777777" w:rsidR="008F58D5" w:rsidRDefault="008F58D5" w:rsidP="008F58D5">
      <w:pPr>
        <w:pStyle w:val="BodyText2"/>
        <w:spacing w:after="120"/>
        <w:rPr>
          <w:color w:val="000000" w:themeColor="text1"/>
        </w:rPr>
      </w:pPr>
      <w:proofErr w:type="spellStart"/>
      <w:r w:rsidRPr="00E2674A">
        <w:rPr>
          <w:color w:val="000000" w:themeColor="text1"/>
        </w:rPr>
        <w:t>Andor</w:t>
      </w:r>
      <w:proofErr w:type="spellEnd"/>
      <w:r w:rsidRPr="00E2674A">
        <w:rPr>
          <w:color w:val="000000" w:themeColor="text1"/>
        </w:rPr>
        <w:t>, M., Voss, A., 2016. Optimal renewable-energy promotion: Capacity subsidies vs. generation subsidies. Resource and Energy Economics, 45, 144-158.</w:t>
      </w:r>
    </w:p>
    <w:p w14:paraId="76818595" w14:textId="77777777" w:rsidR="00B26C46" w:rsidRPr="005435C4" w:rsidRDefault="00B26C46" w:rsidP="00B26C46">
      <w:pPr>
        <w:pStyle w:val="BodyText2"/>
        <w:spacing w:after="120"/>
        <w:rPr>
          <w:lang w:val="nl-NL"/>
        </w:rPr>
      </w:pPr>
      <w:r w:rsidRPr="00EB6C28">
        <w:rPr>
          <w:lang w:val="es-ES"/>
        </w:rPr>
        <w:t>Huntington</w:t>
      </w:r>
      <w:r>
        <w:rPr>
          <w:lang w:val="es-ES"/>
        </w:rPr>
        <w:t>,</w:t>
      </w:r>
      <w:r w:rsidRPr="00EB6C28">
        <w:rPr>
          <w:lang w:val="es-ES"/>
        </w:rPr>
        <w:t xml:space="preserve"> S.C., Rodilla</w:t>
      </w:r>
      <w:r>
        <w:rPr>
          <w:lang w:val="es-ES"/>
        </w:rPr>
        <w:t>,</w:t>
      </w:r>
      <w:r w:rsidRPr="00EB6C28">
        <w:rPr>
          <w:lang w:val="es-ES"/>
        </w:rPr>
        <w:t xml:space="preserve"> P., Herrero</w:t>
      </w:r>
      <w:r>
        <w:rPr>
          <w:lang w:val="es-ES"/>
        </w:rPr>
        <w:t>,</w:t>
      </w:r>
      <w:r w:rsidRPr="00EB6C28">
        <w:rPr>
          <w:lang w:val="es-ES"/>
        </w:rPr>
        <w:t xml:space="preserve"> I., Batlle</w:t>
      </w:r>
      <w:r>
        <w:rPr>
          <w:lang w:val="es-ES"/>
        </w:rPr>
        <w:t>,</w:t>
      </w:r>
      <w:r w:rsidRPr="00EB6C28">
        <w:rPr>
          <w:lang w:val="es-ES"/>
        </w:rPr>
        <w:t xml:space="preserve"> C., 2017. </w:t>
      </w:r>
      <w:r w:rsidRPr="00A6190A">
        <w:t xml:space="preserve">Revisiting support policies for RES-E adulthood: </w:t>
      </w:r>
      <w:r>
        <w:t>t</w:t>
      </w:r>
      <w:r w:rsidRPr="00A6190A">
        <w:t>owards market compatible schemes</w:t>
      </w:r>
      <w:r>
        <w:t>.</w:t>
      </w:r>
      <w:r w:rsidRPr="00A6190A">
        <w:t xml:space="preserve"> </w:t>
      </w:r>
      <w:r w:rsidRPr="005435C4">
        <w:rPr>
          <w:lang w:val="nl-NL"/>
        </w:rPr>
        <w:t>Energy Policy, 104, 474–483.</w:t>
      </w:r>
    </w:p>
    <w:p w14:paraId="61EE9F8F" w14:textId="77777777" w:rsidR="008F58D5" w:rsidRDefault="008F58D5" w:rsidP="008F58D5">
      <w:pPr>
        <w:pStyle w:val="BodyText2"/>
        <w:spacing w:after="120"/>
        <w:rPr>
          <w:color w:val="000000" w:themeColor="text1"/>
        </w:rPr>
      </w:pPr>
      <w:proofErr w:type="spellStart"/>
      <w:r w:rsidRPr="00B26C46">
        <w:rPr>
          <w:color w:val="000000" w:themeColor="text1"/>
          <w:lang w:val="nl-NL"/>
        </w:rPr>
        <w:t>Meus</w:t>
      </w:r>
      <w:proofErr w:type="spellEnd"/>
      <w:r w:rsidRPr="00B26C46">
        <w:rPr>
          <w:color w:val="000000" w:themeColor="text1"/>
          <w:lang w:val="nl-NL"/>
        </w:rPr>
        <w:t xml:space="preserve">, J., van den Bergh, K., </w:t>
      </w:r>
      <w:proofErr w:type="spellStart"/>
      <w:r w:rsidRPr="00B26C46">
        <w:rPr>
          <w:color w:val="000000" w:themeColor="text1"/>
          <w:lang w:val="nl-NL"/>
        </w:rPr>
        <w:t>Delarue</w:t>
      </w:r>
      <w:proofErr w:type="spellEnd"/>
      <w:r w:rsidRPr="00B26C46">
        <w:rPr>
          <w:color w:val="000000" w:themeColor="text1"/>
          <w:lang w:val="nl-NL"/>
        </w:rPr>
        <w:t xml:space="preserve">, E., Proost, S., 2018. </w:t>
      </w:r>
      <w:r w:rsidRPr="00E95914">
        <w:rPr>
          <w:color w:val="000000" w:themeColor="text1"/>
        </w:rPr>
        <w:t>On international renewable cooperation mechanisms: the impact of national RES-E support</w:t>
      </w:r>
      <w:r>
        <w:rPr>
          <w:color w:val="000000" w:themeColor="text1"/>
        </w:rPr>
        <w:t xml:space="preserve"> schemes, Working Paper, KU Leuven.</w:t>
      </w:r>
    </w:p>
    <w:p w14:paraId="1A6C29A9" w14:textId="77777777" w:rsidR="00DC69F1" w:rsidRPr="00956B21" w:rsidRDefault="00572394" w:rsidP="00956B21">
      <w:pPr>
        <w:pStyle w:val="BodyText2"/>
        <w:spacing w:after="120"/>
        <w:rPr>
          <w:color w:val="000000" w:themeColor="text1"/>
        </w:rPr>
      </w:pPr>
      <w:r w:rsidRPr="007458F8">
        <w:rPr>
          <w:color w:val="000000" w:themeColor="text1"/>
        </w:rPr>
        <w:t>Newbery, D., 2018. Evaluating the case for supporting renewable electricity, Energy Policy, 120, 684–696. https://doi.org/10.1016/j.enpol.2018.05.029</w:t>
      </w:r>
    </w:p>
    <w:sectPr w:rsidR="00DC69F1" w:rsidRPr="00956B21" w:rsidSect="00FC73E0">
      <w:headerReference w:type="first" r:id="rId14"/>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60E7F" w14:textId="77777777" w:rsidR="00736717" w:rsidRDefault="00736717">
      <w:r>
        <w:separator/>
      </w:r>
    </w:p>
  </w:endnote>
  <w:endnote w:type="continuationSeparator" w:id="0">
    <w:p w14:paraId="085564C7"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748B" w14:textId="77777777" w:rsidR="00736717" w:rsidRDefault="00736717">
      <w:r>
        <w:separator/>
      </w:r>
    </w:p>
  </w:footnote>
  <w:footnote w:type="continuationSeparator" w:id="0">
    <w:p w14:paraId="01575F92" w14:textId="77777777"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EBFA"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B5C6EA84">
      <w:start w:val="1"/>
      <w:numFmt w:val="bullet"/>
      <w:lvlText w:val=""/>
      <w:lvlJc w:val="left"/>
      <w:pPr>
        <w:tabs>
          <w:tab w:val="num" w:pos="720"/>
        </w:tabs>
        <w:ind w:left="720" w:hanging="360"/>
      </w:pPr>
      <w:rPr>
        <w:rFonts w:ascii="Symbol" w:hAnsi="Symbol" w:hint="default"/>
      </w:rPr>
    </w:lvl>
    <w:lvl w:ilvl="1" w:tplc="801C21D0">
      <w:start w:val="1"/>
      <w:numFmt w:val="bullet"/>
      <w:lvlText w:val="o"/>
      <w:lvlJc w:val="left"/>
      <w:pPr>
        <w:tabs>
          <w:tab w:val="num" w:pos="1440"/>
        </w:tabs>
        <w:ind w:left="1440" w:hanging="360"/>
      </w:pPr>
      <w:rPr>
        <w:rFonts w:ascii="Courier New" w:hAnsi="Courier New" w:hint="default"/>
      </w:rPr>
    </w:lvl>
    <w:lvl w:ilvl="2" w:tplc="87486AA8" w:tentative="1">
      <w:start w:val="1"/>
      <w:numFmt w:val="bullet"/>
      <w:lvlText w:val=""/>
      <w:lvlJc w:val="left"/>
      <w:pPr>
        <w:tabs>
          <w:tab w:val="num" w:pos="2160"/>
        </w:tabs>
        <w:ind w:left="2160" w:hanging="360"/>
      </w:pPr>
      <w:rPr>
        <w:rFonts w:ascii="Wingdings" w:hAnsi="Wingdings" w:hint="default"/>
      </w:rPr>
    </w:lvl>
    <w:lvl w:ilvl="3" w:tplc="3CC00264" w:tentative="1">
      <w:start w:val="1"/>
      <w:numFmt w:val="bullet"/>
      <w:lvlText w:val=""/>
      <w:lvlJc w:val="left"/>
      <w:pPr>
        <w:tabs>
          <w:tab w:val="num" w:pos="2880"/>
        </w:tabs>
        <w:ind w:left="2880" w:hanging="360"/>
      </w:pPr>
      <w:rPr>
        <w:rFonts w:ascii="Symbol" w:hAnsi="Symbol" w:hint="default"/>
      </w:rPr>
    </w:lvl>
    <w:lvl w:ilvl="4" w:tplc="F6AA80E8" w:tentative="1">
      <w:start w:val="1"/>
      <w:numFmt w:val="bullet"/>
      <w:lvlText w:val="o"/>
      <w:lvlJc w:val="left"/>
      <w:pPr>
        <w:tabs>
          <w:tab w:val="num" w:pos="3600"/>
        </w:tabs>
        <w:ind w:left="3600" w:hanging="360"/>
      </w:pPr>
      <w:rPr>
        <w:rFonts w:ascii="Courier New" w:hAnsi="Courier New" w:hint="default"/>
      </w:rPr>
    </w:lvl>
    <w:lvl w:ilvl="5" w:tplc="A8184024" w:tentative="1">
      <w:start w:val="1"/>
      <w:numFmt w:val="bullet"/>
      <w:lvlText w:val=""/>
      <w:lvlJc w:val="left"/>
      <w:pPr>
        <w:tabs>
          <w:tab w:val="num" w:pos="4320"/>
        </w:tabs>
        <w:ind w:left="4320" w:hanging="360"/>
      </w:pPr>
      <w:rPr>
        <w:rFonts w:ascii="Wingdings" w:hAnsi="Wingdings" w:hint="default"/>
      </w:rPr>
    </w:lvl>
    <w:lvl w:ilvl="6" w:tplc="FD5081F8" w:tentative="1">
      <w:start w:val="1"/>
      <w:numFmt w:val="bullet"/>
      <w:lvlText w:val=""/>
      <w:lvlJc w:val="left"/>
      <w:pPr>
        <w:tabs>
          <w:tab w:val="num" w:pos="5040"/>
        </w:tabs>
        <w:ind w:left="5040" w:hanging="360"/>
      </w:pPr>
      <w:rPr>
        <w:rFonts w:ascii="Symbol" w:hAnsi="Symbol" w:hint="default"/>
      </w:rPr>
    </w:lvl>
    <w:lvl w:ilvl="7" w:tplc="992E20DC" w:tentative="1">
      <w:start w:val="1"/>
      <w:numFmt w:val="bullet"/>
      <w:lvlText w:val="o"/>
      <w:lvlJc w:val="left"/>
      <w:pPr>
        <w:tabs>
          <w:tab w:val="num" w:pos="5760"/>
        </w:tabs>
        <w:ind w:left="5760" w:hanging="360"/>
      </w:pPr>
      <w:rPr>
        <w:rFonts w:ascii="Courier New" w:hAnsi="Courier New" w:hint="default"/>
      </w:rPr>
    </w:lvl>
    <w:lvl w:ilvl="8" w:tplc="03CCFC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9CE0E410">
      <w:start w:val="1"/>
      <w:numFmt w:val="lowerRoman"/>
      <w:lvlText w:val="%1.)"/>
      <w:lvlJc w:val="left"/>
      <w:pPr>
        <w:tabs>
          <w:tab w:val="num" w:pos="540"/>
        </w:tabs>
        <w:ind w:left="255" w:hanging="435"/>
      </w:pPr>
      <w:rPr>
        <w:rFonts w:hint="default"/>
      </w:rPr>
    </w:lvl>
    <w:lvl w:ilvl="1" w:tplc="FA10BF5A" w:tentative="1">
      <w:start w:val="1"/>
      <w:numFmt w:val="lowerLetter"/>
      <w:lvlText w:val="%2."/>
      <w:lvlJc w:val="left"/>
      <w:pPr>
        <w:tabs>
          <w:tab w:val="num" w:pos="1260"/>
        </w:tabs>
        <w:ind w:left="1260" w:hanging="360"/>
      </w:pPr>
    </w:lvl>
    <w:lvl w:ilvl="2" w:tplc="62F82860" w:tentative="1">
      <w:start w:val="1"/>
      <w:numFmt w:val="lowerRoman"/>
      <w:lvlText w:val="%3."/>
      <w:lvlJc w:val="right"/>
      <w:pPr>
        <w:tabs>
          <w:tab w:val="num" w:pos="1980"/>
        </w:tabs>
        <w:ind w:left="1980" w:hanging="180"/>
      </w:pPr>
    </w:lvl>
    <w:lvl w:ilvl="3" w:tplc="2FBA52B0" w:tentative="1">
      <w:start w:val="1"/>
      <w:numFmt w:val="decimal"/>
      <w:lvlText w:val="%4."/>
      <w:lvlJc w:val="left"/>
      <w:pPr>
        <w:tabs>
          <w:tab w:val="num" w:pos="2700"/>
        </w:tabs>
        <w:ind w:left="2700" w:hanging="360"/>
      </w:pPr>
    </w:lvl>
    <w:lvl w:ilvl="4" w:tplc="98B03296" w:tentative="1">
      <w:start w:val="1"/>
      <w:numFmt w:val="lowerLetter"/>
      <w:lvlText w:val="%5."/>
      <w:lvlJc w:val="left"/>
      <w:pPr>
        <w:tabs>
          <w:tab w:val="num" w:pos="3420"/>
        </w:tabs>
        <w:ind w:left="3420" w:hanging="360"/>
      </w:pPr>
    </w:lvl>
    <w:lvl w:ilvl="5" w:tplc="0D24A40A" w:tentative="1">
      <w:start w:val="1"/>
      <w:numFmt w:val="lowerRoman"/>
      <w:lvlText w:val="%6."/>
      <w:lvlJc w:val="right"/>
      <w:pPr>
        <w:tabs>
          <w:tab w:val="num" w:pos="4140"/>
        </w:tabs>
        <w:ind w:left="4140" w:hanging="180"/>
      </w:pPr>
    </w:lvl>
    <w:lvl w:ilvl="6" w:tplc="8CFC16EC" w:tentative="1">
      <w:start w:val="1"/>
      <w:numFmt w:val="decimal"/>
      <w:lvlText w:val="%7."/>
      <w:lvlJc w:val="left"/>
      <w:pPr>
        <w:tabs>
          <w:tab w:val="num" w:pos="4860"/>
        </w:tabs>
        <w:ind w:left="4860" w:hanging="360"/>
      </w:pPr>
    </w:lvl>
    <w:lvl w:ilvl="7" w:tplc="CD6C3AE4" w:tentative="1">
      <w:start w:val="1"/>
      <w:numFmt w:val="lowerLetter"/>
      <w:lvlText w:val="%8."/>
      <w:lvlJc w:val="left"/>
      <w:pPr>
        <w:tabs>
          <w:tab w:val="num" w:pos="5580"/>
        </w:tabs>
        <w:ind w:left="5580" w:hanging="360"/>
      </w:pPr>
    </w:lvl>
    <w:lvl w:ilvl="8" w:tplc="C86C694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734F850">
      <w:start w:val="1"/>
      <w:numFmt w:val="bullet"/>
      <w:lvlText w:val=""/>
      <w:lvlJc w:val="left"/>
      <w:pPr>
        <w:tabs>
          <w:tab w:val="num" w:pos="720"/>
        </w:tabs>
        <w:ind w:left="720" w:hanging="360"/>
      </w:pPr>
      <w:rPr>
        <w:rFonts w:ascii="Symbol" w:hAnsi="Symbol" w:hint="default"/>
      </w:rPr>
    </w:lvl>
    <w:lvl w:ilvl="1" w:tplc="D0D64D8E" w:tentative="1">
      <w:start w:val="1"/>
      <w:numFmt w:val="bullet"/>
      <w:lvlText w:val="o"/>
      <w:lvlJc w:val="left"/>
      <w:pPr>
        <w:tabs>
          <w:tab w:val="num" w:pos="1440"/>
        </w:tabs>
        <w:ind w:left="1440" w:hanging="360"/>
      </w:pPr>
      <w:rPr>
        <w:rFonts w:ascii="Courier New" w:hAnsi="Courier New" w:hint="default"/>
      </w:rPr>
    </w:lvl>
    <w:lvl w:ilvl="2" w:tplc="8E82BAD2" w:tentative="1">
      <w:start w:val="1"/>
      <w:numFmt w:val="bullet"/>
      <w:lvlText w:val=""/>
      <w:lvlJc w:val="left"/>
      <w:pPr>
        <w:tabs>
          <w:tab w:val="num" w:pos="2160"/>
        </w:tabs>
        <w:ind w:left="2160" w:hanging="360"/>
      </w:pPr>
      <w:rPr>
        <w:rFonts w:ascii="Wingdings" w:hAnsi="Wingdings" w:hint="default"/>
      </w:rPr>
    </w:lvl>
    <w:lvl w:ilvl="3" w:tplc="933E3CCC" w:tentative="1">
      <w:start w:val="1"/>
      <w:numFmt w:val="bullet"/>
      <w:lvlText w:val=""/>
      <w:lvlJc w:val="left"/>
      <w:pPr>
        <w:tabs>
          <w:tab w:val="num" w:pos="2880"/>
        </w:tabs>
        <w:ind w:left="2880" w:hanging="360"/>
      </w:pPr>
      <w:rPr>
        <w:rFonts w:ascii="Symbol" w:hAnsi="Symbol" w:hint="default"/>
      </w:rPr>
    </w:lvl>
    <w:lvl w:ilvl="4" w:tplc="D898FD60" w:tentative="1">
      <w:start w:val="1"/>
      <w:numFmt w:val="bullet"/>
      <w:lvlText w:val="o"/>
      <w:lvlJc w:val="left"/>
      <w:pPr>
        <w:tabs>
          <w:tab w:val="num" w:pos="3600"/>
        </w:tabs>
        <w:ind w:left="3600" w:hanging="360"/>
      </w:pPr>
      <w:rPr>
        <w:rFonts w:ascii="Courier New" w:hAnsi="Courier New" w:hint="default"/>
      </w:rPr>
    </w:lvl>
    <w:lvl w:ilvl="5" w:tplc="D1C610FA" w:tentative="1">
      <w:start w:val="1"/>
      <w:numFmt w:val="bullet"/>
      <w:lvlText w:val=""/>
      <w:lvlJc w:val="left"/>
      <w:pPr>
        <w:tabs>
          <w:tab w:val="num" w:pos="4320"/>
        </w:tabs>
        <w:ind w:left="4320" w:hanging="360"/>
      </w:pPr>
      <w:rPr>
        <w:rFonts w:ascii="Wingdings" w:hAnsi="Wingdings" w:hint="default"/>
      </w:rPr>
    </w:lvl>
    <w:lvl w:ilvl="6" w:tplc="A8262A84" w:tentative="1">
      <w:start w:val="1"/>
      <w:numFmt w:val="bullet"/>
      <w:lvlText w:val=""/>
      <w:lvlJc w:val="left"/>
      <w:pPr>
        <w:tabs>
          <w:tab w:val="num" w:pos="5040"/>
        </w:tabs>
        <w:ind w:left="5040" w:hanging="360"/>
      </w:pPr>
      <w:rPr>
        <w:rFonts w:ascii="Symbol" w:hAnsi="Symbol" w:hint="default"/>
      </w:rPr>
    </w:lvl>
    <w:lvl w:ilvl="7" w:tplc="5242206A" w:tentative="1">
      <w:start w:val="1"/>
      <w:numFmt w:val="bullet"/>
      <w:lvlText w:val="o"/>
      <w:lvlJc w:val="left"/>
      <w:pPr>
        <w:tabs>
          <w:tab w:val="num" w:pos="5760"/>
        </w:tabs>
        <w:ind w:left="5760" w:hanging="360"/>
      </w:pPr>
      <w:rPr>
        <w:rFonts w:ascii="Courier New" w:hAnsi="Courier New" w:hint="default"/>
      </w:rPr>
    </w:lvl>
    <w:lvl w:ilvl="8" w:tplc="D0803E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0EB6A3FA">
      <w:start w:val="1"/>
      <w:numFmt w:val="lowerRoman"/>
      <w:lvlText w:val="%1.)"/>
      <w:lvlJc w:val="left"/>
      <w:pPr>
        <w:tabs>
          <w:tab w:val="num" w:pos="720"/>
        </w:tabs>
        <w:ind w:left="435" w:hanging="435"/>
      </w:pPr>
      <w:rPr>
        <w:rFonts w:hint="default"/>
      </w:rPr>
    </w:lvl>
    <w:lvl w:ilvl="1" w:tplc="572492E4">
      <w:start w:val="8"/>
      <w:numFmt w:val="decimal"/>
      <w:lvlText w:val="%2."/>
      <w:lvlJc w:val="left"/>
      <w:pPr>
        <w:tabs>
          <w:tab w:val="num" w:pos="1080"/>
        </w:tabs>
        <w:ind w:left="1080" w:hanging="360"/>
      </w:pPr>
      <w:rPr>
        <w:rFonts w:hint="default"/>
      </w:rPr>
    </w:lvl>
    <w:lvl w:ilvl="2" w:tplc="BB58CB64" w:tentative="1">
      <w:start w:val="1"/>
      <w:numFmt w:val="lowerRoman"/>
      <w:lvlText w:val="%3."/>
      <w:lvlJc w:val="right"/>
      <w:pPr>
        <w:tabs>
          <w:tab w:val="num" w:pos="1800"/>
        </w:tabs>
        <w:ind w:left="1800" w:hanging="180"/>
      </w:pPr>
    </w:lvl>
    <w:lvl w:ilvl="3" w:tplc="66E839F2" w:tentative="1">
      <w:start w:val="1"/>
      <w:numFmt w:val="decimal"/>
      <w:lvlText w:val="%4."/>
      <w:lvlJc w:val="left"/>
      <w:pPr>
        <w:tabs>
          <w:tab w:val="num" w:pos="2520"/>
        </w:tabs>
        <w:ind w:left="2520" w:hanging="360"/>
      </w:pPr>
    </w:lvl>
    <w:lvl w:ilvl="4" w:tplc="6532C95A" w:tentative="1">
      <w:start w:val="1"/>
      <w:numFmt w:val="lowerLetter"/>
      <w:lvlText w:val="%5."/>
      <w:lvlJc w:val="left"/>
      <w:pPr>
        <w:tabs>
          <w:tab w:val="num" w:pos="3240"/>
        </w:tabs>
        <w:ind w:left="3240" w:hanging="360"/>
      </w:pPr>
    </w:lvl>
    <w:lvl w:ilvl="5" w:tplc="1E1EE4A6" w:tentative="1">
      <w:start w:val="1"/>
      <w:numFmt w:val="lowerRoman"/>
      <w:lvlText w:val="%6."/>
      <w:lvlJc w:val="right"/>
      <w:pPr>
        <w:tabs>
          <w:tab w:val="num" w:pos="3960"/>
        </w:tabs>
        <w:ind w:left="3960" w:hanging="180"/>
      </w:pPr>
    </w:lvl>
    <w:lvl w:ilvl="6" w:tplc="3E70C908" w:tentative="1">
      <w:start w:val="1"/>
      <w:numFmt w:val="decimal"/>
      <w:lvlText w:val="%7."/>
      <w:lvlJc w:val="left"/>
      <w:pPr>
        <w:tabs>
          <w:tab w:val="num" w:pos="4680"/>
        </w:tabs>
        <w:ind w:left="4680" w:hanging="360"/>
      </w:pPr>
    </w:lvl>
    <w:lvl w:ilvl="7" w:tplc="E2CAEEFA" w:tentative="1">
      <w:start w:val="1"/>
      <w:numFmt w:val="lowerLetter"/>
      <w:lvlText w:val="%8."/>
      <w:lvlJc w:val="left"/>
      <w:pPr>
        <w:tabs>
          <w:tab w:val="num" w:pos="5400"/>
        </w:tabs>
        <w:ind w:left="5400" w:hanging="360"/>
      </w:pPr>
    </w:lvl>
    <w:lvl w:ilvl="8" w:tplc="ACC0B05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DBD05C48">
      <w:start w:val="1"/>
      <w:numFmt w:val="lowerLetter"/>
      <w:lvlText w:val="%1)"/>
      <w:lvlJc w:val="left"/>
      <w:pPr>
        <w:tabs>
          <w:tab w:val="num" w:pos="720"/>
        </w:tabs>
        <w:ind w:left="720" w:hanging="360"/>
      </w:pPr>
    </w:lvl>
    <w:lvl w:ilvl="1" w:tplc="8D6AB3F0" w:tentative="1">
      <w:start w:val="1"/>
      <w:numFmt w:val="lowerLetter"/>
      <w:lvlText w:val="%2."/>
      <w:lvlJc w:val="left"/>
      <w:pPr>
        <w:tabs>
          <w:tab w:val="num" w:pos="1440"/>
        </w:tabs>
        <w:ind w:left="1440" w:hanging="360"/>
      </w:pPr>
    </w:lvl>
    <w:lvl w:ilvl="2" w:tplc="6FE068C0" w:tentative="1">
      <w:start w:val="1"/>
      <w:numFmt w:val="lowerRoman"/>
      <w:lvlText w:val="%3."/>
      <w:lvlJc w:val="right"/>
      <w:pPr>
        <w:tabs>
          <w:tab w:val="num" w:pos="2160"/>
        </w:tabs>
        <w:ind w:left="2160" w:hanging="180"/>
      </w:pPr>
    </w:lvl>
    <w:lvl w:ilvl="3" w:tplc="0BA4D254" w:tentative="1">
      <w:start w:val="1"/>
      <w:numFmt w:val="decimal"/>
      <w:lvlText w:val="%4."/>
      <w:lvlJc w:val="left"/>
      <w:pPr>
        <w:tabs>
          <w:tab w:val="num" w:pos="2880"/>
        </w:tabs>
        <w:ind w:left="2880" w:hanging="360"/>
      </w:pPr>
    </w:lvl>
    <w:lvl w:ilvl="4" w:tplc="7494AFC0" w:tentative="1">
      <w:start w:val="1"/>
      <w:numFmt w:val="lowerLetter"/>
      <w:lvlText w:val="%5."/>
      <w:lvlJc w:val="left"/>
      <w:pPr>
        <w:tabs>
          <w:tab w:val="num" w:pos="3600"/>
        </w:tabs>
        <w:ind w:left="3600" w:hanging="360"/>
      </w:pPr>
    </w:lvl>
    <w:lvl w:ilvl="5" w:tplc="D56C21F4" w:tentative="1">
      <w:start w:val="1"/>
      <w:numFmt w:val="lowerRoman"/>
      <w:lvlText w:val="%6."/>
      <w:lvlJc w:val="right"/>
      <w:pPr>
        <w:tabs>
          <w:tab w:val="num" w:pos="4320"/>
        </w:tabs>
        <w:ind w:left="4320" w:hanging="180"/>
      </w:pPr>
    </w:lvl>
    <w:lvl w:ilvl="6" w:tplc="CE2E7784" w:tentative="1">
      <w:start w:val="1"/>
      <w:numFmt w:val="decimal"/>
      <w:lvlText w:val="%7."/>
      <w:lvlJc w:val="left"/>
      <w:pPr>
        <w:tabs>
          <w:tab w:val="num" w:pos="5040"/>
        </w:tabs>
        <w:ind w:left="5040" w:hanging="360"/>
      </w:pPr>
    </w:lvl>
    <w:lvl w:ilvl="7" w:tplc="7E505E52" w:tentative="1">
      <w:start w:val="1"/>
      <w:numFmt w:val="lowerLetter"/>
      <w:lvlText w:val="%8."/>
      <w:lvlJc w:val="left"/>
      <w:pPr>
        <w:tabs>
          <w:tab w:val="num" w:pos="5760"/>
        </w:tabs>
        <w:ind w:left="5760" w:hanging="360"/>
      </w:pPr>
    </w:lvl>
    <w:lvl w:ilvl="8" w:tplc="C3B6BD0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43FEB5FA">
      <w:start w:val="1"/>
      <w:numFmt w:val="lowerRoman"/>
      <w:lvlText w:val="%1.)"/>
      <w:lvlJc w:val="left"/>
      <w:pPr>
        <w:tabs>
          <w:tab w:val="num" w:pos="720"/>
        </w:tabs>
        <w:ind w:left="435" w:hanging="435"/>
      </w:pPr>
      <w:rPr>
        <w:rFonts w:hint="default"/>
      </w:rPr>
    </w:lvl>
    <w:lvl w:ilvl="1" w:tplc="D53E2EAC" w:tentative="1">
      <w:start w:val="1"/>
      <w:numFmt w:val="lowerLetter"/>
      <w:lvlText w:val="%2."/>
      <w:lvlJc w:val="left"/>
      <w:pPr>
        <w:tabs>
          <w:tab w:val="num" w:pos="1440"/>
        </w:tabs>
        <w:ind w:left="1440" w:hanging="360"/>
      </w:pPr>
    </w:lvl>
    <w:lvl w:ilvl="2" w:tplc="DFF685CC" w:tentative="1">
      <w:start w:val="1"/>
      <w:numFmt w:val="lowerRoman"/>
      <w:lvlText w:val="%3."/>
      <w:lvlJc w:val="right"/>
      <w:pPr>
        <w:tabs>
          <w:tab w:val="num" w:pos="2160"/>
        </w:tabs>
        <w:ind w:left="2160" w:hanging="180"/>
      </w:pPr>
    </w:lvl>
    <w:lvl w:ilvl="3" w:tplc="7B38B0FE" w:tentative="1">
      <w:start w:val="1"/>
      <w:numFmt w:val="decimal"/>
      <w:lvlText w:val="%4."/>
      <w:lvlJc w:val="left"/>
      <w:pPr>
        <w:tabs>
          <w:tab w:val="num" w:pos="2880"/>
        </w:tabs>
        <w:ind w:left="2880" w:hanging="360"/>
      </w:pPr>
    </w:lvl>
    <w:lvl w:ilvl="4" w:tplc="904C530A" w:tentative="1">
      <w:start w:val="1"/>
      <w:numFmt w:val="lowerLetter"/>
      <w:lvlText w:val="%5."/>
      <w:lvlJc w:val="left"/>
      <w:pPr>
        <w:tabs>
          <w:tab w:val="num" w:pos="3600"/>
        </w:tabs>
        <w:ind w:left="3600" w:hanging="360"/>
      </w:pPr>
    </w:lvl>
    <w:lvl w:ilvl="5" w:tplc="3F7E195C" w:tentative="1">
      <w:start w:val="1"/>
      <w:numFmt w:val="lowerRoman"/>
      <w:lvlText w:val="%6."/>
      <w:lvlJc w:val="right"/>
      <w:pPr>
        <w:tabs>
          <w:tab w:val="num" w:pos="4320"/>
        </w:tabs>
        <w:ind w:left="4320" w:hanging="180"/>
      </w:pPr>
    </w:lvl>
    <w:lvl w:ilvl="6" w:tplc="441C35DE" w:tentative="1">
      <w:start w:val="1"/>
      <w:numFmt w:val="decimal"/>
      <w:lvlText w:val="%7."/>
      <w:lvlJc w:val="left"/>
      <w:pPr>
        <w:tabs>
          <w:tab w:val="num" w:pos="5040"/>
        </w:tabs>
        <w:ind w:left="5040" w:hanging="360"/>
      </w:pPr>
    </w:lvl>
    <w:lvl w:ilvl="7" w:tplc="F54034AA" w:tentative="1">
      <w:start w:val="1"/>
      <w:numFmt w:val="lowerLetter"/>
      <w:lvlText w:val="%8."/>
      <w:lvlJc w:val="left"/>
      <w:pPr>
        <w:tabs>
          <w:tab w:val="num" w:pos="5760"/>
        </w:tabs>
        <w:ind w:left="5760" w:hanging="360"/>
      </w:pPr>
    </w:lvl>
    <w:lvl w:ilvl="8" w:tplc="B91E4B1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4E44ED0C">
      <w:start w:val="1"/>
      <w:numFmt w:val="bullet"/>
      <w:lvlText w:val=""/>
      <w:lvlJc w:val="left"/>
      <w:pPr>
        <w:tabs>
          <w:tab w:val="num" w:pos="720"/>
        </w:tabs>
        <w:ind w:left="720" w:hanging="360"/>
      </w:pPr>
      <w:rPr>
        <w:rFonts w:ascii="Symbol" w:hAnsi="Symbol" w:hint="default"/>
      </w:rPr>
    </w:lvl>
    <w:lvl w:ilvl="1" w:tplc="742C2968" w:tentative="1">
      <w:start w:val="1"/>
      <w:numFmt w:val="bullet"/>
      <w:lvlText w:val="o"/>
      <w:lvlJc w:val="left"/>
      <w:pPr>
        <w:tabs>
          <w:tab w:val="num" w:pos="1440"/>
        </w:tabs>
        <w:ind w:left="1440" w:hanging="360"/>
      </w:pPr>
      <w:rPr>
        <w:rFonts w:ascii="Courier New" w:hAnsi="Courier New" w:hint="default"/>
      </w:rPr>
    </w:lvl>
    <w:lvl w:ilvl="2" w:tplc="F9200D76" w:tentative="1">
      <w:start w:val="1"/>
      <w:numFmt w:val="bullet"/>
      <w:lvlText w:val=""/>
      <w:lvlJc w:val="left"/>
      <w:pPr>
        <w:tabs>
          <w:tab w:val="num" w:pos="2160"/>
        </w:tabs>
        <w:ind w:left="2160" w:hanging="360"/>
      </w:pPr>
      <w:rPr>
        <w:rFonts w:ascii="Wingdings" w:hAnsi="Wingdings" w:hint="default"/>
      </w:rPr>
    </w:lvl>
    <w:lvl w:ilvl="3" w:tplc="B662608C" w:tentative="1">
      <w:start w:val="1"/>
      <w:numFmt w:val="bullet"/>
      <w:lvlText w:val=""/>
      <w:lvlJc w:val="left"/>
      <w:pPr>
        <w:tabs>
          <w:tab w:val="num" w:pos="2880"/>
        </w:tabs>
        <w:ind w:left="2880" w:hanging="360"/>
      </w:pPr>
      <w:rPr>
        <w:rFonts w:ascii="Symbol" w:hAnsi="Symbol" w:hint="default"/>
      </w:rPr>
    </w:lvl>
    <w:lvl w:ilvl="4" w:tplc="4D7ACF80" w:tentative="1">
      <w:start w:val="1"/>
      <w:numFmt w:val="bullet"/>
      <w:lvlText w:val="o"/>
      <w:lvlJc w:val="left"/>
      <w:pPr>
        <w:tabs>
          <w:tab w:val="num" w:pos="3600"/>
        </w:tabs>
        <w:ind w:left="3600" w:hanging="360"/>
      </w:pPr>
      <w:rPr>
        <w:rFonts w:ascii="Courier New" w:hAnsi="Courier New" w:hint="default"/>
      </w:rPr>
    </w:lvl>
    <w:lvl w:ilvl="5" w:tplc="D6A2BD44" w:tentative="1">
      <w:start w:val="1"/>
      <w:numFmt w:val="bullet"/>
      <w:lvlText w:val=""/>
      <w:lvlJc w:val="left"/>
      <w:pPr>
        <w:tabs>
          <w:tab w:val="num" w:pos="4320"/>
        </w:tabs>
        <w:ind w:left="4320" w:hanging="360"/>
      </w:pPr>
      <w:rPr>
        <w:rFonts w:ascii="Wingdings" w:hAnsi="Wingdings" w:hint="default"/>
      </w:rPr>
    </w:lvl>
    <w:lvl w:ilvl="6" w:tplc="511ABBC2" w:tentative="1">
      <w:start w:val="1"/>
      <w:numFmt w:val="bullet"/>
      <w:lvlText w:val=""/>
      <w:lvlJc w:val="left"/>
      <w:pPr>
        <w:tabs>
          <w:tab w:val="num" w:pos="5040"/>
        </w:tabs>
        <w:ind w:left="5040" w:hanging="360"/>
      </w:pPr>
      <w:rPr>
        <w:rFonts w:ascii="Symbol" w:hAnsi="Symbol" w:hint="default"/>
      </w:rPr>
    </w:lvl>
    <w:lvl w:ilvl="7" w:tplc="B1B2A9D8" w:tentative="1">
      <w:start w:val="1"/>
      <w:numFmt w:val="bullet"/>
      <w:lvlText w:val="o"/>
      <w:lvlJc w:val="left"/>
      <w:pPr>
        <w:tabs>
          <w:tab w:val="num" w:pos="5760"/>
        </w:tabs>
        <w:ind w:left="5760" w:hanging="360"/>
      </w:pPr>
      <w:rPr>
        <w:rFonts w:ascii="Courier New" w:hAnsi="Courier New" w:hint="default"/>
      </w:rPr>
    </w:lvl>
    <w:lvl w:ilvl="8" w:tplc="7312F0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3BDCD176">
      <w:start w:val="1"/>
      <w:numFmt w:val="bullet"/>
      <w:lvlText w:val=""/>
      <w:lvlJc w:val="left"/>
      <w:pPr>
        <w:tabs>
          <w:tab w:val="num" w:pos="1440"/>
        </w:tabs>
        <w:ind w:left="1440" w:hanging="360"/>
      </w:pPr>
      <w:rPr>
        <w:rFonts w:ascii="Symbol" w:hAnsi="Symbol" w:hint="default"/>
      </w:rPr>
    </w:lvl>
    <w:lvl w:ilvl="1" w:tplc="2A3455F8" w:tentative="1">
      <w:start w:val="1"/>
      <w:numFmt w:val="bullet"/>
      <w:lvlText w:val="o"/>
      <w:lvlJc w:val="left"/>
      <w:pPr>
        <w:tabs>
          <w:tab w:val="num" w:pos="2160"/>
        </w:tabs>
        <w:ind w:left="2160" w:hanging="360"/>
      </w:pPr>
      <w:rPr>
        <w:rFonts w:ascii="Courier New" w:hAnsi="Courier New" w:hint="default"/>
      </w:rPr>
    </w:lvl>
    <w:lvl w:ilvl="2" w:tplc="87C29378" w:tentative="1">
      <w:start w:val="1"/>
      <w:numFmt w:val="bullet"/>
      <w:lvlText w:val=""/>
      <w:lvlJc w:val="left"/>
      <w:pPr>
        <w:tabs>
          <w:tab w:val="num" w:pos="2880"/>
        </w:tabs>
        <w:ind w:left="2880" w:hanging="360"/>
      </w:pPr>
      <w:rPr>
        <w:rFonts w:ascii="Wingdings" w:hAnsi="Wingdings" w:hint="default"/>
      </w:rPr>
    </w:lvl>
    <w:lvl w:ilvl="3" w:tplc="DABCDC50" w:tentative="1">
      <w:start w:val="1"/>
      <w:numFmt w:val="bullet"/>
      <w:lvlText w:val=""/>
      <w:lvlJc w:val="left"/>
      <w:pPr>
        <w:tabs>
          <w:tab w:val="num" w:pos="3600"/>
        </w:tabs>
        <w:ind w:left="3600" w:hanging="360"/>
      </w:pPr>
      <w:rPr>
        <w:rFonts w:ascii="Symbol" w:hAnsi="Symbol" w:hint="default"/>
      </w:rPr>
    </w:lvl>
    <w:lvl w:ilvl="4" w:tplc="A7D6660C" w:tentative="1">
      <w:start w:val="1"/>
      <w:numFmt w:val="bullet"/>
      <w:lvlText w:val="o"/>
      <w:lvlJc w:val="left"/>
      <w:pPr>
        <w:tabs>
          <w:tab w:val="num" w:pos="4320"/>
        </w:tabs>
        <w:ind w:left="4320" w:hanging="360"/>
      </w:pPr>
      <w:rPr>
        <w:rFonts w:ascii="Courier New" w:hAnsi="Courier New" w:hint="default"/>
      </w:rPr>
    </w:lvl>
    <w:lvl w:ilvl="5" w:tplc="46E4FDD4" w:tentative="1">
      <w:start w:val="1"/>
      <w:numFmt w:val="bullet"/>
      <w:lvlText w:val=""/>
      <w:lvlJc w:val="left"/>
      <w:pPr>
        <w:tabs>
          <w:tab w:val="num" w:pos="5040"/>
        </w:tabs>
        <w:ind w:left="5040" w:hanging="360"/>
      </w:pPr>
      <w:rPr>
        <w:rFonts w:ascii="Wingdings" w:hAnsi="Wingdings" w:hint="default"/>
      </w:rPr>
    </w:lvl>
    <w:lvl w:ilvl="6" w:tplc="77AC68F6" w:tentative="1">
      <w:start w:val="1"/>
      <w:numFmt w:val="bullet"/>
      <w:lvlText w:val=""/>
      <w:lvlJc w:val="left"/>
      <w:pPr>
        <w:tabs>
          <w:tab w:val="num" w:pos="5760"/>
        </w:tabs>
        <w:ind w:left="5760" w:hanging="360"/>
      </w:pPr>
      <w:rPr>
        <w:rFonts w:ascii="Symbol" w:hAnsi="Symbol" w:hint="default"/>
      </w:rPr>
    </w:lvl>
    <w:lvl w:ilvl="7" w:tplc="15526F38" w:tentative="1">
      <w:start w:val="1"/>
      <w:numFmt w:val="bullet"/>
      <w:lvlText w:val="o"/>
      <w:lvlJc w:val="left"/>
      <w:pPr>
        <w:tabs>
          <w:tab w:val="num" w:pos="6480"/>
        </w:tabs>
        <w:ind w:left="6480" w:hanging="360"/>
      </w:pPr>
      <w:rPr>
        <w:rFonts w:ascii="Courier New" w:hAnsi="Courier New" w:hint="default"/>
      </w:rPr>
    </w:lvl>
    <w:lvl w:ilvl="8" w:tplc="124EA67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6229154">
      <w:start w:val="1"/>
      <w:numFmt w:val="bullet"/>
      <w:lvlText w:val=""/>
      <w:lvlJc w:val="left"/>
      <w:pPr>
        <w:tabs>
          <w:tab w:val="num" w:pos="1440"/>
        </w:tabs>
        <w:ind w:left="1440" w:hanging="360"/>
      </w:pPr>
      <w:rPr>
        <w:rFonts w:ascii="Symbol" w:hAnsi="Symbol" w:hint="default"/>
      </w:rPr>
    </w:lvl>
    <w:lvl w:ilvl="1" w:tplc="E35004F8" w:tentative="1">
      <w:start w:val="1"/>
      <w:numFmt w:val="bullet"/>
      <w:lvlText w:val="o"/>
      <w:lvlJc w:val="left"/>
      <w:pPr>
        <w:tabs>
          <w:tab w:val="num" w:pos="2160"/>
        </w:tabs>
        <w:ind w:left="2160" w:hanging="360"/>
      </w:pPr>
      <w:rPr>
        <w:rFonts w:ascii="Courier New" w:hAnsi="Courier New" w:hint="default"/>
      </w:rPr>
    </w:lvl>
    <w:lvl w:ilvl="2" w:tplc="E3E0C602" w:tentative="1">
      <w:start w:val="1"/>
      <w:numFmt w:val="bullet"/>
      <w:lvlText w:val=""/>
      <w:lvlJc w:val="left"/>
      <w:pPr>
        <w:tabs>
          <w:tab w:val="num" w:pos="2880"/>
        </w:tabs>
        <w:ind w:left="2880" w:hanging="360"/>
      </w:pPr>
      <w:rPr>
        <w:rFonts w:ascii="Wingdings" w:hAnsi="Wingdings" w:hint="default"/>
      </w:rPr>
    </w:lvl>
    <w:lvl w:ilvl="3" w:tplc="F66AC3CA" w:tentative="1">
      <w:start w:val="1"/>
      <w:numFmt w:val="bullet"/>
      <w:lvlText w:val=""/>
      <w:lvlJc w:val="left"/>
      <w:pPr>
        <w:tabs>
          <w:tab w:val="num" w:pos="3600"/>
        </w:tabs>
        <w:ind w:left="3600" w:hanging="360"/>
      </w:pPr>
      <w:rPr>
        <w:rFonts w:ascii="Symbol" w:hAnsi="Symbol" w:hint="default"/>
      </w:rPr>
    </w:lvl>
    <w:lvl w:ilvl="4" w:tplc="CBE6B1A6" w:tentative="1">
      <w:start w:val="1"/>
      <w:numFmt w:val="bullet"/>
      <w:lvlText w:val="o"/>
      <w:lvlJc w:val="left"/>
      <w:pPr>
        <w:tabs>
          <w:tab w:val="num" w:pos="4320"/>
        </w:tabs>
        <w:ind w:left="4320" w:hanging="360"/>
      </w:pPr>
      <w:rPr>
        <w:rFonts w:ascii="Courier New" w:hAnsi="Courier New" w:hint="default"/>
      </w:rPr>
    </w:lvl>
    <w:lvl w:ilvl="5" w:tplc="CC50CAEC" w:tentative="1">
      <w:start w:val="1"/>
      <w:numFmt w:val="bullet"/>
      <w:lvlText w:val=""/>
      <w:lvlJc w:val="left"/>
      <w:pPr>
        <w:tabs>
          <w:tab w:val="num" w:pos="5040"/>
        </w:tabs>
        <w:ind w:left="5040" w:hanging="360"/>
      </w:pPr>
      <w:rPr>
        <w:rFonts w:ascii="Wingdings" w:hAnsi="Wingdings" w:hint="default"/>
      </w:rPr>
    </w:lvl>
    <w:lvl w:ilvl="6" w:tplc="3BEE9614" w:tentative="1">
      <w:start w:val="1"/>
      <w:numFmt w:val="bullet"/>
      <w:lvlText w:val=""/>
      <w:lvlJc w:val="left"/>
      <w:pPr>
        <w:tabs>
          <w:tab w:val="num" w:pos="5760"/>
        </w:tabs>
        <w:ind w:left="5760" w:hanging="360"/>
      </w:pPr>
      <w:rPr>
        <w:rFonts w:ascii="Symbol" w:hAnsi="Symbol" w:hint="default"/>
      </w:rPr>
    </w:lvl>
    <w:lvl w:ilvl="7" w:tplc="F8241B48" w:tentative="1">
      <w:start w:val="1"/>
      <w:numFmt w:val="bullet"/>
      <w:lvlText w:val="o"/>
      <w:lvlJc w:val="left"/>
      <w:pPr>
        <w:tabs>
          <w:tab w:val="num" w:pos="6480"/>
        </w:tabs>
        <w:ind w:left="6480" w:hanging="360"/>
      </w:pPr>
      <w:rPr>
        <w:rFonts w:ascii="Courier New" w:hAnsi="Courier New" w:hint="default"/>
      </w:rPr>
    </w:lvl>
    <w:lvl w:ilvl="8" w:tplc="FC12EEC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53B246C2">
      <w:start w:val="1"/>
      <w:numFmt w:val="bullet"/>
      <w:lvlText w:val=""/>
      <w:lvlJc w:val="left"/>
      <w:pPr>
        <w:tabs>
          <w:tab w:val="num" w:pos="1440"/>
        </w:tabs>
        <w:ind w:left="1440" w:hanging="360"/>
      </w:pPr>
      <w:rPr>
        <w:rFonts w:ascii="Symbol" w:hAnsi="Symbol" w:hint="default"/>
      </w:rPr>
    </w:lvl>
    <w:lvl w:ilvl="1" w:tplc="D81C6786">
      <w:start w:val="1"/>
      <w:numFmt w:val="bullet"/>
      <w:lvlText w:val="o"/>
      <w:lvlJc w:val="left"/>
      <w:pPr>
        <w:tabs>
          <w:tab w:val="num" w:pos="2160"/>
        </w:tabs>
        <w:ind w:left="2160" w:hanging="360"/>
      </w:pPr>
      <w:rPr>
        <w:rFonts w:ascii="Courier New" w:hAnsi="Courier New" w:hint="default"/>
      </w:rPr>
    </w:lvl>
    <w:lvl w:ilvl="2" w:tplc="0076E522" w:tentative="1">
      <w:start w:val="1"/>
      <w:numFmt w:val="bullet"/>
      <w:lvlText w:val=""/>
      <w:lvlJc w:val="left"/>
      <w:pPr>
        <w:tabs>
          <w:tab w:val="num" w:pos="2880"/>
        </w:tabs>
        <w:ind w:left="2880" w:hanging="360"/>
      </w:pPr>
      <w:rPr>
        <w:rFonts w:ascii="Wingdings" w:hAnsi="Wingdings" w:hint="default"/>
      </w:rPr>
    </w:lvl>
    <w:lvl w:ilvl="3" w:tplc="0B10DC38" w:tentative="1">
      <w:start w:val="1"/>
      <w:numFmt w:val="bullet"/>
      <w:lvlText w:val=""/>
      <w:lvlJc w:val="left"/>
      <w:pPr>
        <w:tabs>
          <w:tab w:val="num" w:pos="3600"/>
        </w:tabs>
        <w:ind w:left="3600" w:hanging="360"/>
      </w:pPr>
      <w:rPr>
        <w:rFonts w:ascii="Symbol" w:hAnsi="Symbol" w:hint="default"/>
      </w:rPr>
    </w:lvl>
    <w:lvl w:ilvl="4" w:tplc="F2E8709E" w:tentative="1">
      <w:start w:val="1"/>
      <w:numFmt w:val="bullet"/>
      <w:lvlText w:val="o"/>
      <w:lvlJc w:val="left"/>
      <w:pPr>
        <w:tabs>
          <w:tab w:val="num" w:pos="4320"/>
        </w:tabs>
        <w:ind w:left="4320" w:hanging="360"/>
      </w:pPr>
      <w:rPr>
        <w:rFonts w:ascii="Courier New" w:hAnsi="Courier New" w:hint="default"/>
      </w:rPr>
    </w:lvl>
    <w:lvl w:ilvl="5" w:tplc="FA4E39AA" w:tentative="1">
      <w:start w:val="1"/>
      <w:numFmt w:val="bullet"/>
      <w:lvlText w:val=""/>
      <w:lvlJc w:val="left"/>
      <w:pPr>
        <w:tabs>
          <w:tab w:val="num" w:pos="5040"/>
        </w:tabs>
        <w:ind w:left="5040" w:hanging="360"/>
      </w:pPr>
      <w:rPr>
        <w:rFonts w:ascii="Wingdings" w:hAnsi="Wingdings" w:hint="default"/>
      </w:rPr>
    </w:lvl>
    <w:lvl w:ilvl="6" w:tplc="A4CA8B20" w:tentative="1">
      <w:start w:val="1"/>
      <w:numFmt w:val="bullet"/>
      <w:lvlText w:val=""/>
      <w:lvlJc w:val="left"/>
      <w:pPr>
        <w:tabs>
          <w:tab w:val="num" w:pos="5760"/>
        </w:tabs>
        <w:ind w:left="5760" w:hanging="360"/>
      </w:pPr>
      <w:rPr>
        <w:rFonts w:ascii="Symbol" w:hAnsi="Symbol" w:hint="default"/>
      </w:rPr>
    </w:lvl>
    <w:lvl w:ilvl="7" w:tplc="CE588056" w:tentative="1">
      <w:start w:val="1"/>
      <w:numFmt w:val="bullet"/>
      <w:lvlText w:val="o"/>
      <w:lvlJc w:val="left"/>
      <w:pPr>
        <w:tabs>
          <w:tab w:val="num" w:pos="6480"/>
        </w:tabs>
        <w:ind w:left="6480" w:hanging="360"/>
      </w:pPr>
      <w:rPr>
        <w:rFonts w:ascii="Courier New" w:hAnsi="Courier New" w:hint="default"/>
      </w:rPr>
    </w:lvl>
    <w:lvl w:ilvl="8" w:tplc="EAF09B1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D61216C6">
      <w:start w:val="1"/>
      <w:numFmt w:val="bullet"/>
      <w:lvlText w:val=""/>
      <w:lvlJc w:val="left"/>
      <w:pPr>
        <w:tabs>
          <w:tab w:val="num" w:pos="720"/>
        </w:tabs>
        <w:ind w:left="720" w:hanging="360"/>
      </w:pPr>
      <w:rPr>
        <w:rFonts w:ascii="Symbol" w:hAnsi="Symbol" w:hint="default"/>
      </w:rPr>
    </w:lvl>
    <w:lvl w:ilvl="1" w:tplc="FCC46E78">
      <w:start w:val="1"/>
      <w:numFmt w:val="bullet"/>
      <w:lvlText w:val="o"/>
      <w:lvlJc w:val="left"/>
      <w:pPr>
        <w:tabs>
          <w:tab w:val="num" w:pos="1440"/>
        </w:tabs>
        <w:ind w:left="1440" w:hanging="360"/>
      </w:pPr>
      <w:rPr>
        <w:rFonts w:ascii="Courier New" w:hAnsi="Courier New" w:hint="default"/>
      </w:rPr>
    </w:lvl>
    <w:lvl w:ilvl="2" w:tplc="9456217A" w:tentative="1">
      <w:start w:val="1"/>
      <w:numFmt w:val="bullet"/>
      <w:lvlText w:val=""/>
      <w:lvlJc w:val="left"/>
      <w:pPr>
        <w:tabs>
          <w:tab w:val="num" w:pos="2160"/>
        </w:tabs>
        <w:ind w:left="2160" w:hanging="360"/>
      </w:pPr>
      <w:rPr>
        <w:rFonts w:ascii="Wingdings" w:hAnsi="Wingdings" w:hint="default"/>
      </w:rPr>
    </w:lvl>
    <w:lvl w:ilvl="3" w:tplc="BFA469E6" w:tentative="1">
      <w:start w:val="1"/>
      <w:numFmt w:val="bullet"/>
      <w:lvlText w:val=""/>
      <w:lvlJc w:val="left"/>
      <w:pPr>
        <w:tabs>
          <w:tab w:val="num" w:pos="2880"/>
        </w:tabs>
        <w:ind w:left="2880" w:hanging="360"/>
      </w:pPr>
      <w:rPr>
        <w:rFonts w:ascii="Symbol" w:hAnsi="Symbol" w:hint="default"/>
      </w:rPr>
    </w:lvl>
    <w:lvl w:ilvl="4" w:tplc="26A033E6" w:tentative="1">
      <w:start w:val="1"/>
      <w:numFmt w:val="bullet"/>
      <w:lvlText w:val="o"/>
      <w:lvlJc w:val="left"/>
      <w:pPr>
        <w:tabs>
          <w:tab w:val="num" w:pos="3600"/>
        </w:tabs>
        <w:ind w:left="3600" w:hanging="360"/>
      </w:pPr>
      <w:rPr>
        <w:rFonts w:ascii="Courier New" w:hAnsi="Courier New" w:hint="default"/>
      </w:rPr>
    </w:lvl>
    <w:lvl w:ilvl="5" w:tplc="53F09CE2" w:tentative="1">
      <w:start w:val="1"/>
      <w:numFmt w:val="bullet"/>
      <w:lvlText w:val=""/>
      <w:lvlJc w:val="left"/>
      <w:pPr>
        <w:tabs>
          <w:tab w:val="num" w:pos="4320"/>
        </w:tabs>
        <w:ind w:left="4320" w:hanging="360"/>
      </w:pPr>
      <w:rPr>
        <w:rFonts w:ascii="Wingdings" w:hAnsi="Wingdings" w:hint="default"/>
      </w:rPr>
    </w:lvl>
    <w:lvl w:ilvl="6" w:tplc="00FE7302" w:tentative="1">
      <w:start w:val="1"/>
      <w:numFmt w:val="bullet"/>
      <w:lvlText w:val=""/>
      <w:lvlJc w:val="left"/>
      <w:pPr>
        <w:tabs>
          <w:tab w:val="num" w:pos="5040"/>
        </w:tabs>
        <w:ind w:left="5040" w:hanging="360"/>
      </w:pPr>
      <w:rPr>
        <w:rFonts w:ascii="Symbol" w:hAnsi="Symbol" w:hint="default"/>
      </w:rPr>
    </w:lvl>
    <w:lvl w:ilvl="7" w:tplc="B77E1232" w:tentative="1">
      <w:start w:val="1"/>
      <w:numFmt w:val="bullet"/>
      <w:lvlText w:val="o"/>
      <w:lvlJc w:val="left"/>
      <w:pPr>
        <w:tabs>
          <w:tab w:val="num" w:pos="5760"/>
        </w:tabs>
        <w:ind w:left="5760" w:hanging="360"/>
      </w:pPr>
      <w:rPr>
        <w:rFonts w:ascii="Courier New" w:hAnsi="Courier New" w:hint="default"/>
      </w:rPr>
    </w:lvl>
    <w:lvl w:ilvl="8" w:tplc="513CBE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9AD09B2E">
      <w:start w:val="1"/>
      <w:numFmt w:val="lowerRoman"/>
      <w:lvlText w:val="%1.)"/>
      <w:lvlJc w:val="left"/>
      <w:pPr>
        <w:tabs>
          <w:tab w:val="num" w:pos="540"/>
        </w:tabs>
        <w:ind w:left="255" w:hanging="435"/>
      </w:pPr>
      <w:rPr>
        <w:rFonts w:hint="default"/>
      </w:rPr>
    </w:lvl>
    <w:lvl w:ilvl="1" w:tplc="B19AE2BE" w:tentative="1">
      <w:start w:val="1"/>
      <w:numFmt w:val="lowerLetter"/>
      <w:lvlText w:val="%2."/>
      <w:lvlJc w:val="left"/>
      <w:pPr>
        <w:tabs>
          <w:tab w:val="num" w:pos="1260"/>
        </w:tabs>
        <w:ind w:left="1260" w:hanging="360"/>
      </w:pPr>
    </w:lvl>
    <w:lvl w:ilvl="2" w:tplc="1E96E4F8" w:tentative="1">
      <w:start w:val="1"/>
      <w:numFmt w:val="lowerRoman"/>
      <w:lvlText w:val="%3."/>
      <w:lvlJc w:val="right"/>
      <w:pPr>
        <w:tabs>
          <w:tab w:val="num" w:pos="1980"/>
        </w:tabs>
        <w:ind w:left="1980" w:hanging="180"/>
      </w:pPr>
    </w:lvl>
    <w:lvl w:ilvl="3" w:tplc="98E2A566" w:tentative="1">
      <w:start w:val="1"/>
      <w:numFmt w:val="decimal"/>
      <w:lvlText w:val="%4."/>
      <w:lvlJc w:val="left"/>
      <w:pPr>
        <w:tabs>
          <w:tab w:val="num" w:pos="2700"/>
        </w:tabs>
        <w:ind w:left="2700" w:hanging="360"/>
      </w:pPr>
    </w:lvl>
    <w:lvl w:ilvl="4" w:tplc="EB38787A" w:tentative="1">
      <w:start w:val="1"/>
      <w:numFmt w:val="lowerLetter"/>
      <w:lvlText w:val="%5."/>
      <w:lvlJc w:val="left"/>
      <w:pPr>
        <w:tabs>
          <w:tab w:val="num" w:pos="3420"/>
        </w:tabs>
        <w:ind w:left="3420" w:hanging="360"/>
      </w:pPr>
    </w:lvl>
    <w:lvl w:ilvl="5" w:tplc="634A6684" w:tentative="1">
      <w:start w:val="1"/>
      <w:numFmt w:val="lowerRoman"/>
      <w:lvlText w:val="%6."/>
      <w:lvlJc w:val="right"/>
      <w:pPr>
        <w:tabs>
          <w:tab w:val="num" w:pos="4140"/>
        </w:tabs>
        <w:ind w:left="4140" w:hanging="180"/>
      </w:pPr>
    </w:lvl>
    <w:lvl w:ilvl="6" w:tplc="33CCAAD8" w:tentative="1">
      <w:start w:val="1"/>
      <w:numFmt w:val="decimal"/>
      <w:lvlText w:val="%7."/>
      <w:lvlJc w:val="left"/>
      <w:pPr>
        <w:tabs>
          <w:tab w:val="num" w:pos="4860"/>
        </w:tabs>
        <w:ind w:left="4860" w:hanging="360"/>
      </w:pPr>
    </w:lvl>
    <w:lvl w:ilvl="7" w:tplc="9CA272CE" w:tentative="1">
      <w:start w:val="1"/>
      <w:numFmt w:val="lowerLetter"/>
      <w:lvlText w:val="%8."/>
      <w:lvlJc w:val="left"/>
      <w:pPr>
        <w:tabs>
          <w:tab w:val="num" w:pos="5580"/>
        </w:tabs>
        <w:ind w:left="5580" w:hanging="360"/>
      </w:pPr>
    </w:lvl>
    <w:lvl w:ilvl="8" w:tplc="A36A8F8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7E506572">
      <w:start w:val="1"/>
      <w:numFmt w:val="decimal"/>
      <w:lvlText w:val="%1."/>
      <w:lvlJc w:val="left"/>
      <w:pPr>
        <w:tabs>
          <w:tab w:val="num" w:pos="180"/>
        </w:tabs>
        <w:ind w:left="180" w:hanging="360"/>
      </w:pPr>
      <w:rPr>
        <w:rFonts w:hint="default"/>
      </w:rPr>
    </w:lvl>
    <w:lvl w:ilvl="1" w:tplc="1DF23800" w:tentative="1">
      <w:start w:val="1"/>
      <w:numFmt w:val="lowerLetter"/>
      <w:lvlText w:val="%2."/>
      <w:lvlJc w:val="left"/>
      <w:pPr>
        <w:tabs>
          <w:tab w:val="num" w:pos="900"/>
        </w:tabs>
        <w:ind w:left="900" w:hanging="360"/>
      </w:pPr>
    </w:lvl>
    <w:lvl w:ilvl="2" w:tplc="E550F038" w:tentative="1">
      <w:start w:val="1"/>
      <w:numFmt w:val="lowerRoman"/>
      <w:lvlText w:val="%3."/>
      <w:lvlJc w:val="right"/>
      <w:pPr>
        <w:tabs>
          <w:tab w:val="num" w:pos="1620"/>
        </w:tabs>
        <w:ind w:left="1620" w:hanging="180"/>
      </w:pPr>
    </w:lvl>
    <w:lvl w:ilvl="3" w:tplc="24B459BC" w:tentative="1">
      <w:start w:val="1"/>
      <w:numFmt w:val="decimal"/>
      <w:lvlText w:val="%4."/>
      <w:lvlJc w:val="left"/>
      <w:pPr>
        <w:tabs>
          <w:tab w:val="num" w:pos="2340"/>
        </w:tabs>
        <w:ind w:left="2340" w:hanging="360"/>
      </w:pPr>
    </w:lvl>
    <w:lvl w:ilvl="4" w:tplc="129A061A" w:tentative="1">
      <w:start w:val="1"/>
      <w:numFmt w:val="lowerLetter"/>
      <w:lvlText w:val="%5."/>
      <w:lvlJc w:val="left"/>
      <w:pPr>
        <w:tabs>
          <w:tab w:val="num" w:pos="3060"/>
        </w:tabs>
        <w:ind w:left="3060" w:hanging="360"/>
      </w:pPr>
    </w:lvl>
    <w:lvl w:ilvl="5" w:tplc="8A2C5FDC" w:tentative="1">
      <w:start w:val="1"/>
      <w:numFmt w:val="lowerRoman"/>
      <w:lvlText w:val="%6."/>
      <w:lvlJc w:val="right"/>
      <w:pPr>
        <w:tabs>
          <w:tab w:val="num" w:pos="3780"/>
        </w:tabs>
        <w:ind w:left="3780" w:hanging="180"/>
      </w:pPr>
    </w:lvl>
    <w:lvl w:ilvl="6" w:tplc="00D2DBDA" w:tentative="1">
      <w:start w:val="1"/>
      <w:numFmt w:val="decimal"/>
      <w:lvlText w:val="%7."/>
      <w:lvlJc w:val="left"/>
      <w:pPr>
        <w:tabs>
          <w:tab w:val="num" w:pos="4500"/>
        </w:tabs>
        <w:ind w:left="4500" w:hanging="360"/>
      </w:pPr>
    </w:lvl>
    <w:lvl w:ilvl="7" w:tplc="BED81978" w:tentative="1">
      <w:start w:val="1"/>
      <w:numFmt w:val="lowerLetter"/>
      <w:lvlText w:val="%8."/>
      <w:lvlJc w:val="left"/>
      <w:pPr>
        <w:tabs>
          <w:tab w:val="num" w:pos="5220"/>
        </w:tabs>
        <w:ind w:left="5220" w:hanging="360"/>
      </w:pPr>
    </w:lvl>
    <w:lvl w:ilvl="8" w:tplc="52CCDED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973C7EAE">
      <w:start w:val="1"/>
      <w:numFmt w:val="bullet"/>
      <w:lvlText w:val=""/>
      <w:lvlJc w:val="left"/>
      <w:pPr>
        <w:tabs>
          <w:tab w:val="num" w:pos="720"/>
        </w:tabs>
        <w:ind w:left="720" w:hanging="360"/>
      </w:pPr>
      <w:rPr>
        <w:rFonts w:ascii="Symbol" w:hAnsi="Symbol" w:hint="default"/>
      </w:rPr>
    </w:lvl>
    <w:lvl w:ilvl="1" w:tplc="56B257B2" w:tentative="1">
      <w:start w:val="1"/>
      <w:numFmt w:val="bullet"/>
      <w:lvlText w:val="o"/>
      <w:lvlJc w:val="left"/>
      <w:pPr>
        <w:tabs>
          <w:tab w:val="num" w:pos="1440"/>
        </w:tabs>
        <w:ind w:left="1440" w:hanging="360"/>
      </w:pPr>
      <w:rPr>
        <w:rFonts w:ascii="Courier New" w:hAnsi="Courier New" w:hint="default"/>
      </w:rPr>
    </w:lvl>
    <w:lvl w:ilvl="2" w:tplc="BDA88EBC" w:tentative="1">
      <w:start w:val="1"/>
      <w:numFmt w:val="bullet"/>
      <w:lvlText w:val=""/>
      <w:lvlJc w:val="left"/>
      <w:pPr>
        <w:tabs>
          <w:tab w:val="num" w:pos="2160"/>
        </w:tabs>
        <w:ind w:left="2160" w:hanging="360"/>
      </w:pPr>
      <w:rPr>
        <w:rFonts w:ascii="Wingdings" w:hAnsi="Wingdings" w:hint="default"/>
      </w:rPr>
    </w:lvl>
    <w:lvl w:ilvl="3" w:tplc="4D900EDA" w:tentative="1">
      <w:start w:val="1"/>
      <w:numFmt w:val="bullet"/>
      <w:lvlText w:val=""/>
      <w:lvlJc w:val="left"/>
      <w:pPr>
        <w:tabs>
          <w:tab w:val="num" w:pos="2880"/>
        </w:tabs>
        <w:ind w:left="2880" w:hanging="360"/>
      </w:pPr>
      <w:rPr>
        <w:rFonts w:ascii="Symbol" w:hAnsi="Symbol" w:hint="default"/>
      </w:rPr>
    </w:lvl>
    <w:lvl w:ilvl="4" w:tplc="07DCE1A2" w:tentative="1">
      <w:start w:val="1"/>
      <w:numFmt w:val="bullet"/>
      <w:lvlText w:val="o"/>
      <w:lvlJc w:val="left"/>
      <w:pPr>
        <w:tabs>
          <w:tab w:val="num" w:pos="3600"/>
        </w:tabs>
        <w:ind w:left="3600" w:hanging="360"/>
      </w:pPr>
      <w:rPr>
        <w:rFonts w:ascii="Courier New" w:hAnsi="Courier New" w:hint="default"/>
      </w:rPr>
    </w:lvl>
    <w:lvl w:ilvl="5" w:tplc="BD749BD6" w:tentative="1">
      <w:start w:val="1"/>
      <w:numFmt w:val="bullet"/>
      <w:lvlText w:val=""/>
      <w:lvlJc w:val="left"/>
      <w:pPr>
        <w:tabs>
          <w:tab w:val="num" w:pos="4320"/>
        </w:tabs>
        <w:ind w:left="4320" w:hanging="360"/>
      </w:pPr>
      <w:rPr>
        <w:rFonts w:ascii="Wingdings" w:hAnsi="Wingdings" w:hint="default"/>
      </w:rPr>
    </w:lvl>
    <w:lvl w:ilvl="6" w:tplc="09AA12A4" w:tentative="1">
      <w:start w:val="1"/>
      <w:numFmt w:val="bullet"/>
      <w:lvlText w:val=""/>
      <w:lvlJc w:val="left"/>
      <w:pPr>
        <w:tabs>
          <w:tab w:val="num" w:pos="5040"/>
        </w:tabs>
        <w:ind w:left="5040" w:hanging="360"/>
      </w:pPr>
      <w:rPr>
        <w:rFonts w:ascii="Symbol" w:hAnsi="Symbol" w:hint="default"/>
      </w:rPr>
    </w:lvl>
    <w:lvl w:ilvl="7" w:tplc="82D6BFD0" w:tentative="1">
      <w:start w:val="1"/>
      <w:numFmt w:val="bullet"/>
      <w:lvlText w:val="o"/>
      <w:lvlJc w:val="left"/>
      <w:pPr>
        <w:tabs>
          <w:tab w:val="num" w:pos="5760"/>
        </w:tabs>
        <w:ind w:left="5760" w:hanging="360"/>
      </w:pPr>
      <w:rPr>
        <w:rFonts w:ascii="Courier New" w:hAnsi="Courier New" w:hint="default"/>
      </w:rPr>
    </w:lvl>
    <w:lvl w:ilvl="8" w:tplc="36AA97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976802EC">
      <w:start w:val="1"/>
      <w:numFmt w:val="bullet"/>
      <w:lvlText w:val=""/>
      <w:lvlJc w:val="left"/>
      <w:pPr>
        <w:tabs>
          <w:tab w:val="num" w:pos="720"/>
        </w:tabs>
        <w:ind w:left="720" w:hanging="360"/>
      </w:pPr>
      <w:rPr>
        <w:rFonts w:ascii="Symbol" w:hAnsi="Symbol" w:hint="default"/>
      </w:rPr>
    </w:lvl>
    <w:lvl w:ilvl="1" w:tplc="625AA8E4">
      <w:start w:val="1"/>
      <w:numFmt w:val="bullet"/>
      <w:lvlText w:val="o"/>
      <w:lvlJc w:val="left"/>
      <w:pPr>
        <w:tabs>
          <w:tab w:val="num" w:pos="1440"/>
        </w:tabs>
        <w:ind w:left="1440" w:hanging="360"/>
      </w:pPr>
      <w:rPr>
        <w:rFonts w:ascii="Courier New" w:hAnsi="Courier New" w:hint="default"/>
      </w:rPr>
    </w:lvl>
    <w:lvl w:ilvl="2" w:tplc="9ED020DE" w:tentative="1">
      <w:start w:val="1"/>
      <w:numFmt w:val="bullet"/>
      <w:lvlText w:val=""/>
      <w:lvlJc w:val="left"/>
      <w:pPr>
        <w:tabs>
          <w:tab w:val="num" w:pos="2160"/>
        </w:tabs>
        <w:ind w:left="2160" w:hanging="360"/>
      </w:pPr>
      <w:rPr>
        <w:rFonts w:ascii="Wingdings" w:hAnsi="Wingdings" w:hint="default"/>
      </w:rPr>
    </w:lvl>
    <w:lvl w:ilvl="3" w:tplc="6F6C2528" w:tentative="1">
      <w:start w:val="1"/>
      <w:numFmt w:val="bullet"/>
      <w:lvlText w:val=""/>
      <w:lvlJc w:val="left"/>
      <w:pPr>
        <w:tabs>
          <w:tab w:val="num" w:pos="2880"/>
        </w:tabs>
        <w:ind w:left="2880" w:hanging="360"/>
      </w:pPr>
      <w:rPr>
        <w:rFonts w:ascii="Symbol" w:hAnsi="Symbol" w:hint="default"/>
      </w:rPr>
    </w:lvl>
    <w:lvl w:ilvl="4" w:tplc="F84C10CC" w:tentative="1">
      <w:start w:val="1"/>
      <w:numFmt w:val="bullet"/>
      <w:lvlText w:val="o"/>
      <w:lvlJc w:val="left"/>
      <w:pPr>
        <w:tabs>
          <w:tab w:val="num" w:pos="3600"/>
        </w:tabs>
        <w:ind w:left="3600" w:hanging="360"/>
      </w:pPr>
      <w:rPr>
        <w:rFonts w:ascii="Courier New" w:hAnsi="Courier New" w:hint="default"/>
      </w:rPr>
    </w:lvl>
    <w:lvl w:ilvl="5" w:tplc="CF3EF98A" w:tentative="1">
      <w:start w:val="1"/>
      <w:numFmt w:val="bullet"/>
      <w:lvlText w:val=""/>
      <w:lvlJc w:val="left"/>
      <w:pPr>
        <w:tabs>
          <w:tab w:val="num" w:pos="4320"/>
        </w:tabs>
        <w:ind w:left="4320" w:hanging="360"/>
      </w:pPr>
      <w:rPr>
        <w:rFonts w:ascii="Wingdings" w:hAnsi="Wingdings" w:hint="default"/>
      </w:rPr>
    </w:lvl>
    <w:lvl w:ilvl="6" w:tplc="D6340B4A" w:tentative="1">
      <w:start w:val="1"/>
      <w:numFmt w:val="bullet"/>
      <w:lvlText w:val=""/>
      <w:lvlJc w:val="left"/>
      <w:pPr>
        <w:tabs>
          <w:tab w:val="num" w:pos="5040"/>
        </w:tabs>
        <w:ind w:left="5040" w:hanging="360"/>
      </w:pPr>
      <w:rPr>
        <w:rFonts w:ascii="Symbol" w:hAnsi="Symbol" w:hint="default"/>
      </w:rPr>
    </w:lvl>
    <w:lvl w:ilvl="7" w:tplc="55A063C4" w:tentative="1">
      <w:start w:val="1"/>
      <w:numFmt w:val="bullet"/>
      <w:lvlText w:val="o"/>
      <w:lvlJc w:val="left"/>
      <w:pPr>
        <w:tabs>
          <w:tab w:val="num" w:pos="5760"/>
        </w:tabs>
        <w:ind w:left="5760" w:hanging="360"/>
      </w:pPr>
      <w:rPr>
        <w:rFonts w:ascii="Courier New" w:hAnsi="Courier New" w:hint="default"/>
      </w:rPr>
    </w:lvl>
    <w:lvl w:ilvl="8" w:tplc="E2D233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38F0B43A">
      <w:start w:val="1"/>
      <w:numFmt w:val="decimal"/>
      <w:pStyle w:val="References"/>
      <w:lvlText w:val="%1."/>
      <w:lvlJc w:val="left"/>
      <w:pPr>
        <w:tabs>
          <w:tab w:val="num" w:pos="360"/>
        </w:tabs>
        <w:ind w:left="360" w:hanging="360"/>
      </w:pPr>
      <w:rPr>
        <w:rFonts w:hint="default"/>
      </w:rPr>
    </w:lvl>
    <w:lvl w:ilvl="1" w:tplc="CC44C07A">
      <w:start w:val="1"/>
      <w:numFmt w:val="lowerLetter"/>
      <w:lvlText w:val="%2."/>
      <w:lvlJc w:val="left"/>
      <w:pPr>
        <w:tabs>
          <w:tab w:val="num" w:pos="1620"/>
        </w:tabs>
        <w:ind w:left="1620" w:hanging="360"/>
      </w:pPr>
    </w:lvl>
    <w:lvl w:ilvl="2" w:tplc="81D8A85A" w:tentative="1">
      <w:start w:val="1"/>
      <w:numFmt w:val="lowerRoman"/>
      <w:lvlText w:val="%3."/>
      <w:lvlJc w:val="right"/>
      <w:pPr>
        <w:tabs>
          <w:tab w:val="num" w:pos="2340"/>
        </w:tabs>
        <w:ind w:left="2340" w:hanging="180"/>
      </w:pPr>
    </w:lvl>
    <w:lvl w:ilvl="3" w:tplc="F776351A" w:tentative="1">
      <w:start w:val="1"/>
      <w:numFmt w:val="decimal"/>
      <w:lvlText w:val="%4."/>
      <w:lvlJc w:val="left"/>
      <w:pPr>
        <w:tabs>
          <w:tab w:val="num" w:pos="3060"/>
        </w:tabs>
        <w:ind w:left="3060" w:hanging="360"/>
      </w:pPr>
    </w:lvl>
    <w:lvl w:ilvl="4" w:tplc="7B92EDB6" w:tentative="1">
      <w:start w:val="1"/>
      <w:numFmt w:val="lowerLetter"/>
      <w:lvlText w:val="%5."/>
      <w:lvlJc w:val="left"/>
      <w:pPr>
        <w:tabs>
          <w:tab w:val="num" w:pos="3780"/>
        </w:tabs>
        <w:ind w:left="3780" w:hanging="360"/>
      </w:pPr>
    </w:lvl>
    <w:lvl w:ilvl="5" w:tplc="1EF05DF8" w:tentative="1">
      <w:start w:val="1"/>
      <w:numFmt w:val="lowerRoman"/>
      <w:lvlText w:val="%6."/>
      <w:lvlJc w:val="right"/>
      <w:pPr>
        <w:tabs>
          <w:tab w:val="num" w:pos="4500"/>
        </w:tabs>
        <w:ind w:left="4500" w:hanging="180"/>
      </w:pPr>
    </w:lvl>
    <w:lvl w:ilvl="6" w:tplc="69763A24" w:tentative="1">
      <w:start w:val="1"/>
      <w:numFmt w:val="decimal"/>
      <w:lvlText w:val="%7."/>
      <w:lvlJc w:val="left"/>
      <w:pPr>
        <w:tabs>
          <w:tab w:val="num" w:pos="5220"/>
        </w:tabs>
        <w:ind w:left="5220" w:hanging="360"/>
      </w:pPr>
    </w:lvl>
    <w:lvl w:ilvl="7" w:tplc="C94E5DF8" w:tentative="1">
      <w:start w:val="1"/>
      <w:numFmt w:val="lowerLetter"/>
      <w:lvlText w:val="%8."/>
      <w:lvlJc w:val="left"/>
      <w:pPr>
        <w:tabs>
          <w:tab w:val="num" w:pos="5940"/>
        </w:tabs>
        <w:ind w:left="5940" w:hanging="360"/>
      </w:pPr>
    </w:lvl>
    <w:lvl w:ilvl="8" w:tplc="7BE8159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080A790">
      <w:start w:val="1"/>
      <w:numFmt w:val="bullet"/>
      <w:lvlText w:val=""/>
      <w:lvlJc w:val="left"/>
      <w:pPr>
        <w:tabs>
          <w:tab w:val="num" w:pos="720"/>
        </w:tabs>
        <w:ind w:left="720" w:hanging="360"/>
      </w:pPr>
      <w:rPr>
        <w:rFonts w:ascii="Symbol" w:hAnsi="Symbol" w:hint="default"/>
      </w:rPr>
    </w:lvl>
    <w:lvl w:ilvl="1" w:tplc="CC543494" w:tentative="1">
      <w:start w:val="1"/>
      <w:numFmt w:val="bullet"/>
      <w:lvlText w:val="o"/>
      <w:lvlJc w:val="left"/>
      <w:pPr>
        <w:tabs>
          <w:tab w:val="num" w:pos="1440"/>
        </w:tabs>
        <w:ind w:left="1440" w:hanging="360"/>
      </w:pPr>
      <w:rPr>
        <w:rFonts w:ascii="Courier New" w:hAnsi="Courier New" w:hint="default"/>
      </w:rPr>
    </w:lvl>
    <w:lvl w:ilvl="2" w:tplc="87A08DC6" w:tentative="1">
      <w:start w:val="1"/>
      <w:numFmt w:val="bullet"/>
      <w:lvlText w:val=""/>
      <w:lvlJc w:val="left"/>
      <w:pPr>
        <w:tabs>
          <w:tab w:val="num" w:pos="2160"/>
        </w:tabs>
        <w:ind w:left="2160" w:hanging="360"/>
      </w:pPr>
      <w:rPr>
        <w:rFonts w:ascii="Wingdings" w:hAnsi="Wingdings" w:hint="default"/>
      </w:rPr>
    </w:lvl>
    <w:lvl w:ilvl="3" w:tplc="7D769D24" w:tentative="1">
      <w:start w:val="1"/>
      <w:numFmt w:val="bullet"/>
      <w:lvlText w:val=""/>
      <w:lvlJc w:val="left"/>
      <w:pPr>
        <w:tabs>
          <w:tab w:val="num" w:pos="2880"/>
        </w:tabs>
        <w:ind w:left="2880" w:hanging="360"/>
      </w:pPr>
      <w:rPr>
        <w:rFonts w:ascii="Symbol" w:hAnsi="Symbol" w:hint="default"/>
      </w:rPr>
    </w:lvl>
    <w:lvl w:ilvl="4" w:tplc="FBC44358" w:tentative="1">
      <w:start w:val="1"/>
      <w:numFmt w:val="bullet"/>
      <w:lvlText w:val="o"/>
      <w:lvlJc w:val="left"/>
      <w:pPr>
        <w:tabs>
          <w:tab w:val="num" w:pos="3600"/>
        </w:tabs>
        <w:ind w:left="3600" w:hanging="360"/>
      </w:pPr>
      <w:rPr>
        <w:rFonts w:ascii="Courier New" w:hAnsi="Courier New" w:hint="default"/>
      </w:rPr>
    </w:lvl>
    <w:lvl w:ilvl="5" w:tplc="E32812EE" w:tentative="1">
      <w:start w:val="1"/>
      <w:numFmt w:val="bullet"/>
      <w:lvlText w:val=""/>
      <w:lvlJc w:val="left"/>
      <w:pPr>
        <w:tabs>
          <w:tab w:val="num" w:pos="4320"/>
        </w:tabs>
        <w:ind w:left="4320" w:hanging="360"/>
      </w:pPr>
      <w:rPr>
        <w:rFonts w:ascii="Wingdings" w:hAnsi="Wingdings" w:hint="default"/>
      </w:rPr>
    </w:lvl>
    <w:lvl w:ilvl="6" w:tplc="95AC501C" w:tentative="1">
      <w:start w:val="1"/>
      <w:numFmt w:val="bullet"/>
      <w:lvlText w:val=""/>
      <w:lvlJc w:val="left"/>
      <w:pPr>
        <w:tabs>
          <w:tab w:val="num" w:pos="5040"/>
        </w:tabs>
        <w:ind w:left="5040" w:hanging="360"/>
      </w:pPr>
      <w:rPr>
        <w:rFonts w:ascii="Symbol" w:hAnsi="Symbol" w:hint="default"/>
      </w:rPr>
    </w:lvl>
    <w:lvl w:ilvl="7" w:tplc="99921D74" w:tentative="1">
      <w:start w:val="1"/>
      <w:numFmt w:val="bullet"/>
      <w:lvlText w:val="o"/>
      <w:lvlJc w:val="left"/>
      <w:pPr>
        <w:tabs>
          <w:tab w:val="num" w:pos="5760"/>
        </w:tabs>
        <w:ind w:left="5760" w:hanging="360"/>
      </w:pPr>
      <w:rPr>
        <w:rFonts w:ascii="Courier New" w:hAnsi="Courier New" w:hint="default"/>
      </w:rPr>
    </w:lvl>
    <w:lvl w:ilvl="8" w:tplc="50F090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15A04"/>
    <w:rsid w:val="000225A8"/>
    <w:rsid w:val="00033DA3"/>
    <w:rsid w:val="00034865"/>
    <w:rsid w:val="00034E64"/>
    <w:rsid w:val="0005622C"/>
    <w:rsid w:val="00062147"/>
    <w:rsid w:val="00072AEA"/>
    <w:rsid w:val="00111951"/>
    <w:rsid w:val="001245A7"/>
    <w:rsid w:val="001640B2"/>
    <w:rsid w:val="001836AF"/>
    <w:rsid w:val="001959B6"/>
    <w:rsid w:val="001A7A48"/>
    <w:rsid w:val="001B63C6"/>
    <w:rsid w:val="001E34C7"/>
    <w:rsid w:val="002221AF"/>
    <w:rsid w:val="00232769"/>
    <w:rsid w:val="00246843"/>
    <w:rsid w:val="002B14C8"/>
    <w:rsid w:val="0030494C"/>
    <w:rsid w:val="00306D29"/>
    <w:rsid w:val="003077E1"/>
    <w:rsid w:val="00307874"/>
    <w:rsid w:val="00350DF7"/>
    <w:rsid w:val="00405938"/>
    <w:rsid w:val="00405FA9"/>
    <w:rsid w:val="00421774"/>
    <w:rsid w:val="0046045B"/>
    <w:rsid w:val="0047543A"/>
    <w:rsid w:val="004932C7"/>
    <w:rsid w:val="004A2545"/>
    <w:rsid w:val="004A675F"/>
    <w:rsid w:val="004C048E"/>
    <w:rsid w:val="004E4A4A"/>
    <w:rsid w:val="004F758C"/>
    <w:rsid w:val="00540327"/>
    <w:rsid w:val="005435C4"/>
    <w:rsid w:val="00544077"/>
    <w:rsid w:val="00572394"/>
    <w:rsid w:val="0058010C"/>
    <w:rsid w:val="005807E3"/>
    <w:rsid w:val="005A5112"/>
    <w:rsid w:val="00684A83"/>
    <w:rsid w:val="006863AE"/>
    <w:rsid w:val="006C16AF"/>
    <w:rsid w:val="0073398F"/>
    <w:rsid w:val="00736717"/>
    <w:rsid w:val="00754D90"/>
    <w:rsid w:val="0076198D"/>
    <w:rsid w:val="00766EFB"/>
    <w:rsid w:val="007E0C21"/>
    <w:rsid w:val="007E5D2F"/>
    <w:rsid w:val="00815F3E"/>
    <w:rsid w:val="00853DE7"/>
    <w:rsid w:val="00863B3B"/>
    <w:rsid w:val="008674F6"/>
    <w:rsid w:val="00877EDD"/>
    <w:rsid w:val="00881168"/>
    <w:rsid w:val="00892621"/>
    <w:rsid w:val="008C786A"/>
    <w:rsid w:val="008D553E"/>
    <w:rsid w:val="008F0C2C"/>
    <w:rsid w:val="008F58D5"/>
    <w:rsid w:val="00924591"/>
    <w:rsid w:val="00924708"/>
    <w:rsid w:val="009306A1"/>
    <w:rsid w:val="00931500"/>
    <w:rsid w:val="00942D46"/>
    <w:rsid w:val="00956B21"/>
    <w:rsid w:val="00977B22"/>
    <w:rsid w:val="00991441"/>
    <w:rsid w:val="009B581D"/>
    <w:rsid w:val="009E0675"/>
    <w:rsid w:val="00A517B1"/>
    <w:rsid w:val="00A96D21"/>
    <w:rsid w:val="00AB711A"/>
    <w:rsid w:val="00B02B7D"/>
    <w:rsid w:val="00B20B0E"/>
    <w:rsid w:val="00B26C46"/>
    <w:rsid w:val="00B3693E"/>
    <w:rsid w:val="00BD2BA8"/>
    <w:rsid w:val="00C707F7"/>
    <w:rsid w:val="00C87C79"/>
    <w:rsid w:val="00C9276E"/>
    <w:rsid w:val="00CA0507"/>
    <w:rsid w:val="00CC0C71"/>
    <w:rsid w:val="00CC5096"/>
    <w:rsid w:val="00D04B74"/>
    <w:rsid w:val="00D351D8"/>
    <w:rsid w:val="00D42C3F"/>
    <w:rsid w:val="00D4759C"/>
    <w:rsid w:val="00D74A49"/>
    <w:rsid w:val="00DB61B2"/>
    <w:rsid w:val="00DC69F1"/>
    <w:rsid w:val="00DE4367"/>
    <w:rsid w:val="00E02997"/>
    <w:rsid w:val="00E046B2"/>
    <w:rsid w:val="00E3053A"/>
    <w:rsid w:val="00E330E3"/>
    <w:rsid w:val="00E334C7"/>
    <w:rsid w:val="00E82240"/>
    <w:rsid w:val="00E9636B"/>
    <w:rsid w:val="00EB1367"/>
    <w:rsid w:val="00ED4E4A"/>
    <w:rsid w:val="00EE3149"/>
    <w:rsid w:val="00EE5954"/>
    <w:rsid w:val="00F344CF"/>
    <w:rsid w:val="00F47DC7"/>
    <w:rsid w:val="00F91432"/>
    <w:rsid w:val="00F94D78"/>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2C16"/>
  <w15:docId w15:val="{9815AB8D-8B42-4F87-9AA6-B74A0E5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307874"/>
    <w:rPr>
      <w:color w:val="808080"/>
      <w:shd w:val="clear" w:color="auto" w:fill="E6E6E6"/>
    </w:rPr>
  </w:style>
  <w:style w:type="table" w:styleId="TableGrid">
    <w:name w:val="Table Grid"/>
    <w:basedOn w:val="TableNormal"/>
    <w:rsid w:val="00ED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D4E4A"/>
    <w:pPr>
      <w:spacing w:after="200"/>
      <w:jc w:val="both"/>
    </w:pPr>
    <w:rPr>
      <w:b/>
      <w:i/>
      <w:iCs/>
      <w:color w:val="1F497D" w:themeColor="text2"/>
      <w:sz w:val="24"/>
      <w:lang w:val="en-US"/>
    </w:rPr>
  </w:style>
  <w:style w:type="character" w:styleId="CommentReference">
    <w:name w:val="annotation reference"/>
    <w:basedOn w:val="DefaultParagraphFont"/>
    <w:semiHidden/>
    <w:unhideWhenUsed/>
    <w:rsid w:val="005435C4"/>
    <w:rPr>
      <w:sz w:val="16"/>
      <w:szCs w:val="16"/>
    </w:rPr>
  </w:style>
  <w:style w:type="paragraph" w:styleId="CommentText">
    <w:name w:val="annotation text"/>
    <w:basedOn w:val="Normal"/>
    <w:link w:val="CommentTextChar"/>
    <w:semiHidden/>
    <w:unhideWhenUsed/>
    <w:rsid w:val="005435C4"/>
  </w:style>
  <w:style w:type="character" w:customStyle="1" w:styleId="CommentTextChar">
    <w:name w:val="Comment Text Char"/>
    <w:basedOn w:val="DefaultParagraphFont"/>
    <w:link w:val="CommentText"/>
    <w:semiHidden/>
    <w:rsid w:val="005435C4"/>
    <w:rPr>
      <w:rFonts w:ascii="Times New Roman" w:hAnsi="Times New Roman"/>
      <w:lang w:val="en-GB"/>
    </w:rPr>
  </w:style>
  <w:style w:type="paragraph" w:styleId="CommentSubject">
    <w:name w:val="annotation subject"/>
    <w:basedOn w:val="CommentText"/>
    <w:next w:val="CommentText"/>
    <w:link w:val="CommentSubjectChar"/>
    <w:semiHidden/>
    <w:unhideWhenUsed/>
    <w:rsid w:val="005435C4"/>
    <w:rPr>
      <w:b/>
      <w:bCs/>
    </w:rPr>
  </w:style>
  <w:style w:type="character" w:customStyle="1" w:styleId="CommentSubjectChar">
    <w:name w:val="Comment Subject Char"/>
    <w:basedOn w:val="CommentTextChar"/>
    <w:link w:val="CommentSubject"/>
    <w:semiHidden/>
    <w:rsid w:val="005435C4"/>
    <w:rPr>
      <w:rFonts w:ascii="Times New Roman" w:hAnsi="Times New Roman"/>
      <w:b/>
      <w:bCs/>
      <w:lang w:val="en-GB"/>
    </w:rPr>
  </w:style>
  <w:style w:type="paragraph" w:styleId="BalloonText">
    <w:name w:val="Balloon Text"/>
    <w:basedOn w:val="Normal"/>
    <w:link w:val="BalloonTextChar"/>
    <w:rsid w:val="005435C4"/>
    <w:rPr>
      <w:rFonts w:ascii="Segoe UI" w:hAnsi="Segoe UI" w:cs="Segoe UI"/>
      <w:sz w:val="18"/>
      <w:szCs w:val="18"/>
    </w:rPr>
  </w:style>
  <w:style w:type="character" w:customStyle="1" w:styleId="BalloonTextChar">
    <w:name w:val="Balloon Text Char"/>
    <w:basedOn w:val="DefaultParagraphFont"/>
    <w:link w:val="BalloonText"/>
    <w:rsid w:val="005435C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2599">
      <w:bodyDiv w:val="1"/>
      <w:marLeft w:val="0"/>
      <w:marRight w:val="0"/>
      <w:marTop w:val="0"/>
      <w:marBottom w:val="0"/>
      <w:divBdr>
        <w:top w:val="none" w:sz="0" w:space="0" w:color="auto"/>
        <w:left w:val="none" w:sz="0" w:space="0" w:color="auto"/>
        <w:bottom w:val="none" w:sz="0" w:space="0" w:color="auto"/>
        <w:right w:val="none" w:sz="0" w:space="0" w:color="auto"/>
      </w:divBdr>
    </w:div>
    <w:div w:id="1261985343">
      <w:bodyDiv w:val="1"/>
      <w:marLeft w:val="0"/>
      <w:marRight w:val="0"/>
      <w:marTop w:val="0"/>
      <w:marBottom w:val="0"/>
      <w:divBdr>
        <w:top w:val="none" w:sz="0" w:space="0" w:color="auto"/>
        <w:left w:val="none" w:sz="0" w:space="0" w:color="auto"/>
        <w:bottom w:val="none" w:sz="0" w:space="0" w:color="auto"/>
        <w:right w:val="none" w:sz="0" w:space="0" w:color="auto"/>
      </w:divBdr>
    </w:div>
    <w:div w:id="1859926667">
      <w:bodyDiv w:val="1"/>
      <w:marLeft w:val="0"/>
      <w:marRight w:val="0"/>
      <w:marTop w:val="0"/>
      <w:marBottom w:val="0"/>
      <w:divBdr>
        <w:top w:val="none" w:sz="0" w:space="0" w:color="auto"/>
        <w:left w:val="none" w:sz="0" w:space="0" w:color="auto"/>
        <w:bottom w:val="none" w:sz="0" w:space="0" w:color="auto"/>
        <w:right w:val="none" w:sz="0" w:space="0" w:color="auto"/>
      </w:divBdr>
    </w:div>
    <w:div w:id="20280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zge.ozdemir@pbl.nl"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koutstaal@pbl.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t.vanhout@pbl.nl" TargetMode="External"/><Relationship Id="rId4" Type="http://schemas.openxmlformats.org/officeDocument/2006/relationships/settings" Target="settings.xml"/><Relationship Id="rId9" Type="http://schemas.openxmlformats.org/officeDocument/2006/relationships/hyperlink" Target="mailto:bhobbs@jh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8ACC-6785-436C-A832-41FFB731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FF1DABD.dotm</Template>
  <TotalTime>2</TotalTime>
  <Pages>2</Pages>
  <Words>1421</Words>
  <Characters>8491</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Ozdemir, Ozge</cp:lastModifiedBy>
  <cp:revision>5</cp:revision>
  <cp:lastPrinted>2012-01-19T09:58:00Z</cp:lastPrinted>
  <dcterms:created xsi:type="dcterms:W3CDTF">2019-03-14T12:59:00Z</dcterms:created>
  <dcterms:modified xsi:type="dcterms:W3CDTF">2019-03-14T14:36:00Z</dcterms:modified>
</cp:coreProperties>
</file>