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E0" w:rsidRDefault="00E575E0" w:rsidP="00E575E0">
      <w:pPr>
        <w:framePr w:w="11183" w:h="1940" w:hRule="exact" w:hSpace="187" w:wrap="auto" w:vAnchor="page" w:hAnchor="page" w:x="769" w:y="927"/>
        <w:rPr>
          <w:b/>
          <w:i/>
          <w:sz w:val="28"/>
          <w:szCs w:val="28"/>
        </w:rPr>
      </w:pPr>
      <w:r w:rsidRPr="000E09DC">
        <w:rPr>
          <w:b/>
          <w:i/>
          <w:sz w:val="28"/>
          <w:szCs w:val="28"/>
        </w:rPr>
        <w:t xml:space="preserve">DOES TIME-OF-USE PRICING IMPACT RESIDENTIAL ENERGY EFFICIENCY AND SOLAR PANEL ADOPTION? </w:t>
      </w:r>
    </w:p>
    <w:p w:rsidR="00CA5633" w:rsidRPr="000E09DC" w:rsidRDefault="00CA5633" w:rsidP="00E575E0">
      <w:pPr>
        <w:framePr w:w="11183" w:h="1940" w:hRule="exact" w:hSpace="187" w:wrap="auto" w:vAnchor="page" w:hAnchor="page" w:x="769" w:y="927"/>
      </w:pPr>
    </w:p>
    <w:p w:rsidR="00E575E0" w:rsidRPr="000E09DC" w:rsidRDefault="00CA5633" w:rsidP="00E575E0">
      <w:pPr>
        <w:pStyle w:val="BodyText"/>
        <w:framePr w:w="11183" w:h="1940" w:hRule="exact" w:hSpace="187" w:wrap="auto" w:vAnchor="page" w:hAnchor="page" w:x="769" w:y="927"/>
        <w:jc w:val="right"/>
        <w:rPr>
          <w:sz w:val="20"/>
        </w:rPr>
      </w:pPr>
      <w:r w:rsidRPr="000E09DC">
        <w:rPr>
          <w:sz w:val="20"/>
        </w:rPr>
        <w:t xml:space="preserve"> </w:t>
      </w:r>
      <w:r w:rsidR="00E575E0" w:rsidRPr="000E09DC">
        <w:rPr>
          <w:sz w:val="20"/>
        </w:rPr>
        <w:t>[</w:t>
      </w:r>
      <w:r w:rsidR="00E575E0" w:rsidRPr="000E09DC">
        <w:rPr>
          <w:color w:val="222222"/>
          <w:sz w:val="20"/>
          <w:shd w:val="clear" w:color="auto" w:fill="FFFFFF"/>
        </w:rPr>
        <w:t>J</w:t>
      </w:r>
      <w:r w:rsidR="00E575E0" w:rsidRPr="000E09DC">
        <w:rPr>
          <w:sz w:val="20"/>
        </w:rPr>
        <w:t>ing Liang, School of Public Policy, University of Maryland College Park, 480-4340138, jliang14@umd.edu]</w:t>
      </w:r>
    </w:p>
    <w:p w:rsidR="00E575E0" w:rsidRPr="000E09DC" w:rsidRDefault="00E575E0" w:rsidP="00E575E0">
      <w:pPr>
        <w:framePr w:w="11183" w:h="1940" w:hRule="exact" w:hSpace="187" w:wrap="auto" w:vAnchor="page" w:hAnchor="page" w:x="769" w:y="927"/>
        <w:jc w:val="right"/>
        <w:rPr>
          <w:lang w:eastAsia="zh-CN"/>
        </w:rPr>
      </w:pPr>
      <w:r w:rsidRPr="000E09DC">
        <w:t>[</w:t>
      </w:r>
      <w:proofErr w:type="spellStart"/>
      <w:r w:rsidRPr="000E09DC">
        <w:rPr>
          <w:color w:val="222222"/>
          <w:shd w:val="clear" w:color="auto" w:fill="FFFFFF"/>
        </w:rPr>
        <w:t>Pengfei</w:t>
      </w:r>
      <w:proofErr w:type="spellEnd"/>
      <w:r w:rsidRPr="000E09DC">
        <w:rPr>
          <w:color w:val="222222"/>
          <w:shd w:val="clear" w:color="auto" w:fill="FFFFFF"/>
        </w:rPr>
        <w:t xml:space="preserve"> Liu</w:t>
      </w:r>
      <w:r w:rsidRPr="000E09DC">
        <w:t xml:space="preserve">, </w:t>
      </w:r>
      <w:r w:rsidRPr="000E09DC">
        <w:rPr>
          <w:rStyle w:val="Strong"/>
          <w:b w:val="0"/>
          <w:color w:val="000000"/>
        </w:rPr>
        <w:t>Department of Agricultural and Resource Economics</w:t>
      </w:r>
      <w:r w:rsidRPr="000E09DC">
        <w:rPr>
          <w:color w:val="000000"/>
        </w:rPr>
        <w:t>, University of Connecticut</w:t>
      </w:r>
      <w:r w:rsidRPr="000E09DC">
        <w:t xml:space="preserve">, </w:t>
      </w:r>
      <w:r w:rsidRPr="000E09DC">
        <w:rPr>
          <w:color w:val="333333"/>
          <w:shd w:val="clear" w:color="auto" w:fill="FFFFFF"/>
          <w:lang w:val="en-US" w:eastAsia="zh-CN"/>
        </w:rPr>
        <w:t xml:space="preserve">860-4861925, </w:t>
      </w:r>
      <w:r w:rsidRPr="000E09DC">
        <w:rPr>
          <w:shd w:val="clear" w:color="auto" w:fill="FFFFFF"/>
        </w:rPr>
        <w:t>pengfei.liu@uconn.edu]</w:t>
      </w:r>
    </w:p>
    <w:p w:rsidR="00E575E0" w:rsidRPr="000E09DC" w:rsidRDefault="00E575E0" w:rsidP="00E575E0">
      <w:pPr>
        <w:pStyle w:val="BodyText"/>
        <w:framePr w:w="11183" w:h="1940" w:hRule="exact" w:hSpace="187" w:wrap="auto" w:vAnchor="page" w:hAnchor="page" w:x="769" w:y="927"/>
        <w:jc w:val="right"/>
        <w:rPr>
          <w:rStyle w:val="Strong"/>
          <w:b w:val="0"/>
          <w:color w:val="000000"/>
          <w:sz w:val="20"/>
        </w:rPr>
      </w:pPr>
      <w:r w:rsidRPr="000E09DC">
        <w:rPr>
          <w:rStyle w:val="Strong"/>
          <w:b w:val="0"/>
          <w:color w:val="000000"/>
          <w:sz w:val="20"/>
        </w:rPr>
        <w:t xml:space="preserve"> [</w:t>
      </w:r>
      <w:proofErr w:type="spellStart"/>
      <w:r w:rsidRPr="000E09DC">
        <w:rPr>
          <w:rStyle w:val="Strong"/>
          <w:b w:val="0"/>
          <w:color w:val="000000"/>
          <w:sz w:val="20"/>
        </w:rPr>
        <w:t>Yueming</w:t>
      </w:r>
      <w:proofErr w:type="spellEnd"/>
      <w:r w:rsidRPr="000E09DC">
        <w:rPr>
          <w:rStyle w:val="Strong"/>
          <w:b w:val="0"/>
          <w:color w:val="000000"/>
          <w:sz w:val="20"/>
        </w:rPr>
        <w:t xml:space="preserve"> </w:t>
      </w:r>
      <w:r>
        <w:rPr>
          <w:rStyle w:val="Strong"/>
          <w:b w:val="0"/>
          <w:color w:val="000000"/>
          <w:sz w:val="20"/>
        </w:rPr>
        <w:t xml:space="preserve">(Lucy) </w:t>
      </w:r>
      <w:proofErr w:type="spellStart"/>
      <w:r w:rsidRPr="000E09DC">
        <w:rPr>
          <w:rStyle w:val="Strong"/>
          <w:b w:val="0"/>
          <w:color w:val="000000"/>
          <w:sz w:val="20"/>
        </w:rPr>
        <w:t>Qiu</w:t>
      </w:r>
      <w:proofErr w:type="spellEnd"/>
      <w:r w:rsidRPr="000E09DC">
        <w:rPr>
          <w:rStyle w:val="Strong"/>
          <w:b w:val="0"/>
          <w:color w:val="000000"/>
          <w:sz w:val="20"/>
        </w:rPr>
        <w:t xml:space="preserve">, School of Public Policy, University of Maryland College Park, 480-7274097, </w:t>
      </w:r>
      <w:r w:rsidRPr="000E09DC">
        <w:rPr>
          <w:rStyle w:val="Strong"/>
          <w:b w:val="0"/>
          <w:sz w:val="20"/>
        </w:rPr>
        <w:t>yqiu16@umd.edu</w:t>
      </w:r>
      <w:r w:rsidRPr="000E09DC">
        <w:rPr>
          <w:rStyle w:val="Strong"/>
          <w:b w:val="0"/>
          <w:color w:val="000000"/>
          <w:sz w:val="20"/>
        </w:rPr>
        <w:t xml:space="preserve">] </w:t>
      </w:r>
    </w:p>
    <w:p w:rsidR="00E575E0" w:rsidRPr="000E09DC" w:rsidRDefault="00E575E0" w:rsidP="00E575E0">
      <w:pPr>
        <w:pStyle w:val="BodyText2"/>
        <w:framePr w:w="11183" w:h="1940" w:hRule="exact" w:hSpace="187" w:wrap="auto" w:vAnchor="page" w:hAnchor="page" w:x="769" w:y="927"/>
        <w:spacing w:after="200"/>
        <w:jc w:val="right"/>
        <w:rPr>
          <w:i/>
        </w:rPr>
      </w:pPr>
      <w:r w:rsidRPr="000E09DC">
        <w:t>[</w:t>
      </w:r>
      <w:r w:rsidRPr="000E09DC">
        <w:rPr>
          <w:color w:val="222222"/>
          <w:shd w:val="clear" w:color="auto" w:fill="FFFFFF"/>
        </w:rPr>
        <w:t xml:space="preserve">Bo Xing, </w:t>
      </w:r>
      <w:r w:rsidRPr="000E09DC">
        <w:rPr>
          <w:color w:val="000000"/>
          <w:shd w:val="clear" w:color="auto" w:fill="FFFFFF"/>
        </w:rPr>
        <w:t>Department of Forecasting, Research &amp;Economic Development, Salt River Project,</w:t>
      </w:r>
      <w:r w:rsidRPr="000E09DC">
        <w:t xml:space="preserve"> </w:t>
      </w:r>
      <w:r w:rsidRPr="000E09DC">
        <w:rPr>
          <w:shd w:val="clear" w:color="auto" w:fill="FFFFFF"/>
        </w:rPr>
        <w:t>Bo.Xing@srpnet.com</w:t>
      </w:r>
      <w:r w:rsidRPr="000E09DC">
        <w:t>]</w:t>
      </w:r>
    </w:p>
    <w:p w:rsidR="00E575E0" w:rsidRPr="00476853" w:rsidRDefault="00E575E0" w:rsidP="00E575E0">
      <w:pPr>
        <w:pStyle w:val="Heading2"/>
        <w:rPr>
          <w:i w:val="0"/>
          <w:sz w:val="24"/>
          <w:szCs w:val="24"/>
        </w:rPr>
      </w:pPr>
      <w:r w:rsidRPr="00476853">
        <w:rPr>
          <w:i w:val="0"/>
          <w:sz w:val="24"/>
          <w:szCs w:val="24"/>
        </w:rPr>
        <w:t>Overview</w:t>
      </w:r>
    </w:p>
    <w:p w:rsidR="00E575E0" w:rsidRDefault="00E575E0" w:rsidP="00E575E0">
      <w:r w:rsidRPr="009D642E">
        <w:t xml:space="preserve">Energy efficiency and solar energy are two measures promoted by policy makers to reduce residential energy consumption and the associated greenhouse gas emissions. However, the penetration of energy efficiency and solar energy is still relatively low. Many organizational, </w:t>
      </w:r>
      <w:proofErr w:type="spellStart"/>
      <w:r w:rsidRPr="009D642E">
        <w:t>behavioral</w:t>
      </w:r>
      <w:proofErr w:type="spellEnd"/>
      <w:r w:rsidRPr="009D642E">
        <w:t xml:space="preserve">, and market factors have been </w:t>
      </w:r>
      <w:proofErr w:type="spellStart"/>
      <w:r w:rsidRPr="009D642E">
        <w:t>analyzed</w:t>
      </w:r>
      <w:proofErr w:type="spellEnd"/>
      <w:r w:rsidRPr="009D642E">
        <w:t xml:space="preserve"> in existing literature to explain the low adoption level</w:t>
      </w:r>
      <w:r>
        <w:t xml:space="preserve"> (</w:t>
      </w:r>
      <w:r w:rsidRPr="00444A2C">
        <w:rPr>
          <w:color w:val="000000"/>
          <w:shd w:val="clear" w:color="auto" w:fill="FFFFFF"/>
        </w:rPr>
        <w:t>Gillingham</w:t>
      </w:r>
      <w:r>
        <w:rPr>
          <w:color w:val="000000"/>
          <w:shd w:val="clear" w:color="auto" w:fill="FFFFFF"/>
        </w:rPr>
        <w:t xml:space="preserve"> et al., 2009; Davis, </w:t>
      </w:r>
      <w:r w:rsidRPr="00444A2C">
        <w:rPr>
          <w:color w:val="000000"/>
          <w:shd w:val="clear" w:color="auto" w:fill="FFFFFF"/>
        </w:rPr>
        <w:t>2011</w:t>
      </w:r>
      <w:r>
        <w:t>)</w:t>
      </w:r>
      <w:r w:rsidRPr="009D642E">
        <w:t>. Yet, the impact of one particular factor (electricity rate structure) on energy efficiency investment and solar panel adoption is often overlooked</w:t>
      </w:r>
      <w:r>
        <w:t xml:space="preserve"> </w:t>
      </w:r>
      <w:r w:rsidRPr="009D642E">
        <w:t>(</w:t>
      </w:r>
      <w:proofErr w:type="spellStart"/>
      <w:r w:rsidRPr="009D642E">
        <w:t>Novan</w:t>
      </w:r>
      <w:proofErr w:type="spellEnd"/>
      <w:r w:rsidRPr="009D642E">
        <w:t xml:space="preserve"> and Smith, 2017). This paper compares the adoption of energy efficient appliances and solar panels between consumers on flat rates and those on Time-Of-Use (TOU) rates. </w:t>
      </w:r>
    </w:p>
    <w:p w:rsidR="00E575E0" w:rsidRDefault="00E575E0" w:rsidP="00E575E0"/>
    <w:p w:rsidR="00E575E0" w:rsidRPr="00E575E0" w:rsidRDefault="00E575E0" w:rsidP="00E575E0">
      <w:r w:rsidRPr="009D642E">
        <w:t>This study adds to three strands of literature.</w:t>
      </w:r>
      <w:r w:rsidRPr="00561172">
        <w:t xml:space="preserve"> </w:t>
      </w:r>
      <w:r>
        <w:t>First, this study contributes to the</w:t>
      </w:r>
      <w:r w:rsidRPr="009D642E">
        <w:t xml:space="preserve"> strand of studies </w:t>
      </w:r>
      <w:r>
        <w:t xml:space="preserve">on energy efficiency gap </w:t>
      </w:r>
      <w:r w:rsidRPr="009D642E">
        <w:t>by exploring whether rate design can contribute to the mitigation of energy efficiency gap and increase</w:t>
      </w:r>
      <w:r>
        <w:t>s in</w:t>
      </w:r>
      <w:r w:rsidRPr="009D642E">
        <w:t xml:space="preserve"> the adoption of solar panels. </w:t>
      </w:r>
      <w:r>
        <w:t>Second, t</w:t>
      </w:r>
      <w:r w:rsidRPr="009D642E">
        <w:t xml:space="preserve">his study contributes further to studying the impact of TOU on energy consumption </w:t>
      </w:r>
      <w:proofErr w:type="spellStart"/>
      <w:r w:rsidRPr="009D642E">
        <w:t>behaviors</w:t>
      </w:r>
      <w:proofErr w:type="spellEnd"/>
      <w:r w:rsidRPr="009D642E">
        <w:t xml:space="preserve"> by examining whether TOU impacts energy technology adoption.</w:t>
      </w:r>
      <w:r w:rsidRPr="00561172">
        <w:t xml:space="preserve"> </w:t>
      </w:r>
      <w:r>
        <w:t>Third,</w:t>
      </w:r>
      <w:r w:rsidRPr="009D642E">
        <w:t xml:space="preserve"> </w:t>
      </w:r>
      <w:r>
        <w:t>despite</w:t>
      </w:r>
      <w:r w:rsidRPr="009D642E">
        <w:t xml:space="preserve"> si</w:t>
      </w:r>
      <w:r>
        <w:t xml:space="preserve">mulation or </w:t>
      </w:r>
      <w:proofErr w:type="spellStart"/>
      <w:r>
        <w:t>modeli</w:t>
      </w:r>
      <w:r w:rsidRPr="009D642E">
        <w:t>ng</w:t>
      </w:r>
      <w:proofErr w:type="spellEnd"/>
      <w:r w:rsidRPr="009D642E">
        <w:t xml:space="preserve"> on </w:t>
      </w:r>
      <w:r>
        <w:t xml:space="preserve">the </w:t>
      </w:r>
      <w:r w:rsidRPr="009D642E">
        <w:t>interaction between rate design and solar panel adoption, there is a lack of empirical evidence for the impacts of rate design on the adoption of low-carbon technologies.</w:t>
      </w:r>
      <w:r>
        <w:t xml:space="preserve"> </w:t>
      </w:r>
      <w:r>
        <w:rPr>
          <w:color w:val="000000"/>
        </w:rPr>
        <w:t>W</w:t>
      </w:r>
      <w:r w:rsidRPr="009D642E">
        <w:rPr>
          <w:color w:val="000000"/>
        </w:rPr>
        <w:t>e focus on energy efficient air conditioner units because air conditioner accounts for a half of the electricity use</w:t>
      </w:r>
      <w:r>
        <w:rPr>
          <w:color w:val="000000"/>
        </w:rPr>
        <w:t xml:space="preserve"> </w:t>
      </w:r>
      <w:r w:rsidRPr="009D642E">
        <w:rPr>
          <w:color w:val="000000"/>
        </w:rPr>
        <w:t xml:space="preserve">(Pérez-Lombard et al., 2008). An understanding of the impacts of </w:t>
      </w:r>
      <w:r>
        <w:rPr>
          <w:color w:val="000000"/>
        </w:rPr>
        <w:t>TOU on energy efficient AC</w:t>
      </w:r>
      <w:r w:rsidRPr="009D642E">
        <w:rPr>
          <w:color w:val="000000"/>
        </w:rPr>
        <w:t xml:space="preserve"> provides insights into the influences of TOU on other appliances.</w:t>
      </w:r>
      <w:r>
        <w:rPr>
          <w:color w:val="000000"/>
        </w:rPr>
        <w:t xml:space="preserve"> </w:t>
      </w:r>
      <w:r w:rsidRPr="009D642E">
        <w:rPr>
          <w:color w:val="000000"/>
        </w:rPr>
        <w:t xml:space="preserve">we also </w:t>
      </w:r>
      <w:proofErr w:type="spellStart"/>
      <w:r w:rsidRPr="009D642E">
        <w:rPr>
          <w:color w:val="000000"/>
        </w:rPr>
        <w:t>analyze</w:t>
      </w:r>
      <w:proofErr w:type="spellEnd"/>
      <w:r w:rsidRPr="009D642E">
        <w:rPr>
          <w:color w:val="000000"/>
        </w:rPr>
        <w:t xml:space="preserve"> the adoption of energy efficient room air conditioners </w:t>
      </w:r>
      <w:r>
        <w:rPr>
          <w:color w:val="000000"/>
        </w:rPr>
        <w:t>because this</w:t>
      </w:r>
      <w:r w:rsidRPr="009D642E">
        <w:rPr>
          <w:color w:val="000000"/>
        </w:rPr>
        <w:t xml:space="preserve"> could have good implication</w:t>
      </w:r>
      <w:r>
        <w:rPr>
          <w:color w:val="000000"/>
        </w:rPr>
        <w:t>s for policy-making, especially</w:t>
      </w:r>
      <w:r w:rsidRPr="009D642E">
        <w:rPr>
          <w:color w:val="000000"/>
        </w:rPr>
        <w:t xml:space="preserve"> in </w:t>
      </w:r>
      <w:r>
        <w:rPr>
          <w:color w:val="000000"/>
        </w:rPr>
        <w:t xml:space="preserve">the </w:t>
      </w:r>
      <w:r w:rsidRPr="009D642E">
        <w:rPr>
          <w:color w:val="000000"/>
        </w:rPr>
        <w:t>developing countries.</w:t>
      </w:r>
    </w:p>
    <w:p w:rsidR="00E575E0" w:rsidRPr="00D767DA" w:rsidRDefault="00E575E0" w:rsidP="00E575E0">
      <w:pPr>
        <w:pStyle w:val="Heading2"/>
        <w:rPr>
          <w:i w:val="0"/>
          <w:sz w:val="24"/>
          <w:szCs w:val="24"/>
        </w:rPr>
      </w:pPr>
      <w:r w:rsidRPr="00D767DA">
        <w:rPr>
          <w:i w:val="0"/>
          <w:sz w:val="24"/>
          <w:szCs w:val="24"/>
        </w:rPr>
        <w:t>Methods</w:t>
      </w:r>
    </w:p>
    <w:p w:rsidR="00E575E0" w:rsidRPr="009D642E" w:rsidRDefault="00E575E0" w:rsidP="00E575E0">
      <w:r w:rsidRPr="009D642E">
        <w:t>We first build a theoretical model to show that TOU customers have larger incentives to adopt energy efficiency and solar panels. We construct a two-period model to illustrate consumers’ decision process. In period 1, a consumer makes a decision to 1) purchase energy efficient appliances (e.g., energy star air conditioner) or 2) adopt solar panels. In period 2, they decide on how much electricity to use after the decision in the first per</w:t>
      </w:r>
      <w:r w:rsidR="00441630">
        <w:t xml:space="preserve">iod. The theoretical model </w:t>
      </w:r>
      <w:bookmarkStart w:id="0" w:name="_GoBack"/>
      <w:bookmarkEnd w:id="0"/>
      <w:r w:rsidRPr="009D642E">
        <w:t xml:space="preserve">indicates that the </w:t>
      </w:r>
      <w:proofErr w:type="spellStart"/>
      <w:r w:rsidRPr="009D642E">
        <w:t>cutoff</w:t>
      </w:r>
      <w:proofErr w:type="spellEnd"/>
      <w:r w:rsidRPr="009D642E">
        <w:t xml:space="preserve"> points for the consumers to adopt solar panels or energy efficient appliances depends on the technology saving rate, the investment costs, and the </w:t>
      </w:r>
      <w:r w:rsidRPr="003D5AEB">
        <w:rPr>
          <w:rFonts w:eastAsia="DengXian"/>
        </w:rPr>
        <w:t xml:space="preserve">relative magnitude of flat rate electricity price and the effective TOU price. </w:t>
      </w:r>
    </w:p>
    <w:p w:rsidR="00E575E0" w:rsidRDefault="00E575E0" w:rsidP="00E575E0"/>
    <w:p w:rsidR="00E575E0" w:rsidRPr="00E575E0" w:rsidRDefault="00E575E0" w:rsidP="00E575E0">
      <w:r w:rsidRPr="009D642E">
        <w:t>Then</w:t>
      </w:r>
      <w:r>
        <w:t xml:space="preserve"> a</w:t>
      </w:r>
      <w:r w:rsidRPr="009D642E">
        <w:t xml:space="preserve"> </w:t>
      </w:r>
      <w:proofErr w:type="spellStart"/>
      <w:r w:rsidRPr="009D642E">
        <w:t>probit</w:t>
      </w:r>
      <w:proofErr w:type="spellEnd"/>
      <w:r w:rsidRPr="009D642E">
        <w:t xml:space="preserve"> model </w:t>
      </w:r>
      <w:r>
        <w:t>is</w:t>
      </w:r>
      <w:r w:rsidRPr="009D642E">
        <w:t xml:space="preserve"> employed to provide empirical evidence, using household-level data in Phoenix, Arizona from an appliance saturation survey of about </w:t>
      </w:r>
      <w:r>
        <w:t>16,000</w:t>
      </w:r>
      <w:r w:rsidRPr="009D642E">
        <w:t xml:space="preserve"> customers conducted by a </w:t>
      </w:r>
      <w:r>
        <w:t>major electric utility in 2014.</w:t>
      </w:r>
    </w:p>
    <w:p w:rsidR="00E575E0" w:rsidRPr="00F17C4F" w:rsidRDefault="00E575E0" w:rsidP="00E575E0">
      <w:pPr>
        <w:autoSpaceDE w:val="0"/>
        <w:autoSpaceDN w:val="0"/>
        <w:adjustRightInd w:val="0"/>
        <w:rPr>
          <w:color w:val="000000"/>
        </w:rPr>
      </w:pPr>
    </w:p>
    <w:p w:rsidR="00E575E0" w:rsidRPr="009D642E" w:rsidRDefault="00617AC3" w:rsidP="00E575E0">
      <w:pPr>
        <w:autoSpaceDE w:val="0"/>
        <w:autoSpaceDN w:val="0"/>
        <w:adjustRightInd w:val="0"/>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 xml:space="preserve">1 if </m:t>
                </m:r>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i</m:t>
                    </m:r>
                  </m:sub>
                  <m:sup>
                    <m:r>
                      <w:rPr>
                        <w:rFonts w:ascii="Cambria Math" w:eastAsia="MS Mincho" w:hAnsi="Cambria Math"/>
                        <w:color w:val="000000" w:themeColor="text1"/>
                      </w:rPr>
                      <m:t>*</m:t>
                    </m:r>
                  </m:sup>
                </m:sSubSup>
                <m:r>
                  <w:rPr>
                    <w:rFonts w:ascii="Cambria Math" w:hAnsi="Cambria Math"/>
                    <w:color w:val="000000" w:themeColor="text1"/>
                  </w:rPr>
                  <m:t>&gt;0</m:t>
                </m:r>
              </m:e>
              <m:e>
                <m:r>
                  <w:rPr>
                    <w:rFonts w:ascii="Cambria Math" w:hAnsi="Cambria Math"/>
                    <w:color w:val="000000" w:themeColor="text1"/>
                  </w:rPr>
                  <m:t>0 ot</m:t>
                </m:r>
                <m:r>
                  <w:rPr>
                    <w:rFonts w:ascii="Cambria Math" w:eastAsia="MS Mincho" w:hAnsi="Cambria Math"/>
                    <w:color w:val="000000" w:themeColor="text1"/>
                  </w:rPr>
                  <m:t>h</m:t>
                </m:r>
                <m:r>
                  <w:rPr>
                    <w:rFonts w:ascii="Cambria Math" w:hAnsi="Cambria Math"/>
                    <w:color w:val="000000" w:themeColor="text1"/>
                  </w:rPr>
                  <m:t>erwise</m:t>
                </m:r>
              </m:e>
            </m:eqArr>
          </m:e>
        </m:d>
      </m:oMath>
      <w:r w:rsidR="00E575E0" w:rsidRPr="009D642E">
        <w:rPr>
          <w:color w:val="000000" w:themeColor="text1"/>
        </w:rPr>
        <w:t xml:space="preserve">      (1)</w:t>
      </w:r>
    </w:p>
    <w:p w:rsidR="00E575E0" w:rsidRPr="009D642E" w:rsidRDefault="00E575E0" w:rsidP="00E575E0">
      <w:pPr>
        <w:autoSpaceDE w:val="0"/>
        <w:autoSpaceDN w:val="0"/>
        <w:adjustRightInd w:val="0"/>
        <w:rPr>
          <w:color w:val="000000" w:themeColor="text1"/>
        </w:rPr>
      </w:pPr>
    </w:p>
    <w:p w:rsidR="00E575E0" w:rsidRPr="009D642E" w:rsidRDefault="00617AC3" w:rsidP="00E575E0">
      <w:pPr>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i</m:t>
            </m:r>
          </m:sub>
          <m:sup>
            <m:r>
              <w:rPr>
                <w:rFonts w:ascii="Cambria Math" w:eastAsia="MS Mincho" w:hAnsi="Cambria Math"/>
                <w:color w:val="000000" w:themeColor="text1"/>
              </w:rPr>
              <m: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d>
              <m:dPr>
                <m:ctrlPr>
                  <w:rPr>
                    <w:rFonts w:ascii="Cambria Math" w:hAnsi="Cambria Math"/>
                    <w:b/>
                    <w:i/>
                    <w:color w:val="000000" w:themeColor="text1"/>
                  </w:rPr>
                </m:ctrlPr>
              </m:dPr>
              <m:e>
                <m:r>
                  <w:rPr>
                    <w:rFonts w:ascii="Cambria Math" w:hAnsi="Cambria Math"/>
                  </w:rPr>
                  <m:t>T</m:t>
                </m:r>
                <m:sSub>
                  <m:sSubPr>
                    <m:ctrlPr>
                      <w:rPr>
                        <w:rFonts w:ascii="Cambria Math" w:hAnsi="Cambria Math"/>
                        <w:i/>
                      </w:rPr>
                    </m:ctrlPr>
                  </m:sSubPr>
                  <m:e>
                    <m:r>
                      <w:rPr>
                        <w:rFonts w:ascii="Cambria Math" w:hAnsi="Cambria Math"/>
                      </w:rPr>
                      <m:t>OU</m:t>
                    </m:r>
                  </m:e>
                  <m:sub>
                    <m:r>
                      <w:rPr>
                        <w:rFonts w:ascii="Cambria Math" w:hAnsi="Cambria Math"/>
                      </w:rPr>
                      <m:t>i</m:t>
                    </m:r>
                  </m:sub>
                </m:sSub>
              </m:e>
            </m:d>
            <m:r>
              <m:rPr>
                <m:sty m:val="bi"/>
              </m:rPr>
              <w:rPr>
                <w:rFonts w:ascii="Cambria Math" w:hAnsi="Cambria Math"/>
                <w:color w:val="000000" w:themeColor="text1"/>
              </w:rPr>
              <m:t>+</m:t>
            </m:r>
            <m:r>
              <w:rPr>
                <w:rFonts w:ascii="Cambria Math" w:hAnsi="Cambria Math"/>
                <w:color w:val="000000" w:themeColor="text1"/>
              </w:rPr>
              <m:t>β</m:t>
            </m:r>
          </m:e>
          <m:sub>
            <m:r>
              <w:rPr>
                <w:rFonts w:ascii="Cambria Math" w:hAnsi="Cambria Math"/>
                <w:color w:val="000000" w:themeColor="text1"/>
              </w:rPr>
              <m:t>2</m:t>
            </m:r>
          </m:sub>
        </m:sSub>
        <m:sSub>
          <m:sSubPr>
            <m:ctrlPr>
              <w:rPr>
                <w:rFonts w:ascii="Cambria Math" w:hAnsi="Cambria Math"/>
                <w:b/>
                <w:i/>
                <w:color w:val="000000" w:themeColor="text1"/>
              </w:rPr>
            </m:ctrlPr>
          </m:sSubPr>
          <m:e>
            <m:r>
              <m:rPr>
                <m:sty m:val="bi"/>
              </m:rPr>
              <w:rPr>
                <w:rFonts w:ascii="Cambria Math" w:hAnsi="Cambria Math"/>
                <w:color w:val="000000" w:themeColor="text1"/>
              </w:rPr>
              <m:t>X</m:t>
            </m:r>
          </m:e>
          <m:sub>
            <m:r>
              <m:rPr>
                <m:sty m:val="bi"/>
              </m:rP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m:t>
            </m:r>
          </m:sub>
        </m:sSub>
      </m:oMath>
      <w:r w:rsidR="00E575E0" w:rsidRPr="009D642E">
        <w:rPr>
          <w:color w:val="000000" w:themeColor="text1"/>
        </w:rPr>
        <w:t xml:space="preserve"> </w:t>
      </w:r>
      <w:r w:rsidR="00E575E0">
        <w:rPr>
          <w:color w:val="000000" w:themeColor="text1"/>
        </w:rPr>
        <w:t xml:space="preserve">  </w:t>
      </w:r>
      <w:r w:rsidR="00E575E0" w:rsidRPr="009D642E">
        <w:rPr>
          <w:color w:val="000000" w:themeColor="text1"/>
        </w:rPr>
        <w:t>(2)</w:t>
      </w:r>
    </w:p>
    <w:p w:rsidR="00E575E0" w:rsidRDefault="00E575E0" w:rsidP="00E575E0">
      <w:pPr>
        <w:rPr>
          <w:color w:val="000000"/>
        </w:rPr>
      </w:pPr>
    </w:p>
    <w:p w:rsidR="00E575E0" w:rsidRDefault="00E575E0" w:rsidP="00E575E0">
      <w:r w:rsidRPr="009D642E">
        <w:rPr>
          <w:color w:val="000000" w:themeColor="text1"/>
        </w:rPr>
        <w:t xml:space="preserve">where </w:t>
      </w:r>
      <w:proofErr w:type="spellStart"/>
      <w:r w:rsidRPr="009D642E">
        <w:rPr>
          <w:i/>
          <w:color w:val="000000" w:themeColor="text1"/>
        </w:rPr>
        <w:t>i</w:t>
      </w:r>
      <w:proofErr w:type="spellEnd"/>
      <w:r w:rsidRPr="009D642E">
        <w:rPr>
          <w:color w:val="000000" w:themeColor="text1"/>
        </w:rPr>
        <w:t xml:space="preserve"> indicates individual household </w:t>
      </w:r>
      <w:proofErr w:type="spellStart"/>
      <w:r w:rsidRPr="009D642E">
        <w:rPr>
          <w:i/>
          <w:color w:val="000000" w:themeColor="text1"/>
        </w:rPr>
        <w:t>i</w:t>
      </w:r>
      <w:proofErr w:type="spellEnd"/>
      <w:r w:rsidRPr="009D642E">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oMath>
      <w:r w:rsidRPr="009D642E">
        <w:rPr>
          <w:color w:val="000000" w:themeColor="text1"/>
        </w:rPr>
        <w:t xml:space="preserve"> is a binary dependent variable indicating the adoption of energy efficient air conditioner or solar panels. </w:t>
      </w: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i</m:t>
            </m:r>
          </m:sub>
          <m:sup>
            <m:r>
              <w:rPr>
                <w:rFonts w:ascii="Cambria Math" w:eastAsia="MS Mincho" w:hAnsi="Cambria Math"/>
                <w:color w:val="000000" w:themeColor="text1"/>
              </w:rPr>
              <m:t>*</m:t>
            </m:r>
          </m:sup>
        </m:sSubSup>
      </m:oMath>
      <w:r w:rsidRPr="009D642E">
        <w:rPr>
          <w:color w:val="000000" w:themeColor="text1"/>
        </w:rPr>
        <w:t xml:space="preserve"> is the latent variable; TOU is equal to 1 if the household is on TOU pricing plans and is 0 if the household is on the flat rate. </w:t>
      </w:r>
      <m:oMath>
        <m:r>
          <w:rPr>
            <w:rFonts w:ascii="Cambria Math" w:hAnsi="Cambria Math"/>
            <w:color w:val="000000" w:themeColor="text1"/>
          </w:rPr>
          <m:t xml:space="preserve"> </m:t>
        </m:r>
        <m:r>
          <m:rPr>
            <m:sty m:val="bi"/>
          </m:rPr>
          <w:rPr>
            <w:rFonts w:ascii="Cambria Math" w:hAnsi="Cambria Math"/>
            <w:color w:val="000000" w:themeColor="text1"/>
          </w:rPr>
          <m:t>X</m:t>
        </m:r>
      </m:oMath>
      <w:r w:rsidRPr="009D642E">
        <w:rPr>
          <w:b/>
          <w:color w:val="000000" w:themeColor="text1"/>
        </w:rPr>
        <w:t xml:space="preserve"> </w:t>
      </w:r>
      <w:r w:rsidRPr="009D642E">
        <w:rPr>
          <w:color w:val="000000" w:themeColor="text1"/>
        </w:rPr>
        <w:t xml:space="preserve">is a vector of control variables, including the </w:t>
      </w:r>
      <w:r w:rsidRPr="009D642E">
        <w:t>demographics (age, households, income, etc.)</w:t>
      </w:r>
      <w:r w:rsidRPr="009D642E">
        <w:rPr>
          <w:iCs/>
          <w:color w:val="000000" w:themeColor="text1"/>
        </w:rPr>
        <w:t xml:space="preserve"> </w:t>
      </w:r>
      <w:r w:rsidRPr="009D642E">
        <w:t xml:space="preserve">and housing characteristics (square footage, ownership, stories, </w:t>
      </w:r>
      <w:proofErr w:type="gramStart"/>
      <w:r w:rsidRPr="009D642E">
        <w:t>etc.).</w:t>
      </w:r>
      <w:proofErr w:type="gramEnd"/>
      <w:r>
        <w:t xml:space="preserve"> Although there are incentives for energy </w:t>
      </w:r>
      <w:r w:rsidR="00CA5633">
        <w:t xml:space="preserve">efficiency or solar panels, </w:t>
      </w:r>
      <w:r>
        <w:t xml:space="preserve">there is no variation for incentives because the utility provides same incentives to its consumers. </w:t>
      </w:r>
    </w:p>
    <w:p w:rsidR="00E575E0" w:rsidRDefault="00E575E0" w:rsidP="00E575E0"/>
    <w:p w:rsidR="00E575E0" w:rsidRDefault="00E575E0" w:rsidP="00E575E0">
      <w:r>
        <w:t>S</w:t>
      </w:r>
      <w:r w:rsidRPr="009D642E">
        <w:t xml:space="preserve">ince TOU is not mandatory, it is possible that some households are selected to </w:t>
      </w:r>
      <w:proofErr w:type="spellStart"/>
      <w:r w:rsidRPr="009D642E">
        <w:t>enroll</w:t>
      </w:r>
      <w:proofErr w:type="spellEnd"/>
      <w:r w:rsidRPr="009D642E">
        <w:t xml:space="preserve"> in TOU, </w:t>
      </w:r>
      <w:r>
        <w:t>meaning</w:t>
      </w:r>
      <w:r w:rsidRPr="009D642E">
        <w:t xml:space="preserve"> some consumers are more likely to </w:t>
      </w:r>
      <w:proofErr w:type="spellStart"/>
      <w:r w:rsidRPr="009D642E">
        <w:t>enroll</w:t>
      </w:r>
      <w:proofErr w:type="spellEnd"/>
      <w:r w:rsidRPr="009D642E">
        <w:t xml:space="preserve"> in TOU compared to others while these households </w:t>
      </w:r>
      <w:r>
        <w:rPr>
          <w:rFonts w:hint="eastAsia"/>
        </w:rPr>
        <w:t>are also</w:t>
      </w:r>
      <w:r w:rsidRPr="009D642E">
        <w:t xml:space="preserve"> more likely to </w:t>
      </w:r>
      <w:r>
        <w:rPr>
          <w:rFonts w:hint="eastAsia"/>
        </w:rPr>
        <w:t>adopt</w:t>
      </w:r>
      <w:r w:rsidRPr="009D642E">
        <w:t xml:space="preserve"> energy efficiency and solar panels. If these households have specific characteristics that are not observable to</w:t>
      </w:r>
      <w:r>
        <w:t xml:space="preserve"> us</w:t>
      </w:r>
      <w:r w:rsidRPr="009D642E">
        <w:t xml:space="preserve">, </w:t>
      </w:r>
      <w:r>
        <w:rPr>
          <w:rFonts w:hint="eastAsia"/>
        </w:rPr>
        <w:t>a</w:t>
      </w:r>
      <w:r w:rsidRPr="009D642E">
        <w:t xml:space="preserve"> potential self-selection bias</w:t>
      </w:r>
      <w:r>
        <w:rPr>
          <w:rFonts w:hint="eastAsia"/>
        </w:rPr>
        <w:t xml:space="preserve"> exists</w:t>
      </w:r>
      <w:r>
        <w:t>. We address the</w:t>
      </w:r>
      <w:r w:rsidRPr="009D642E">
        <w:t xml:space="preserve"> concern </w:t>
      </w:r>
      <w:r>
        <w:rPr>
          <w:rFonts w:hint="eastAsia"/>
        </w:rPr>
        <w:t xml:space="preserve">of self-selection </w:t>
      </w:r>
      <w:r w:rsidRPr="009D642E">
        <w:t>by applying a matching approach</w:t>
      </w:r>
      <w:r>
        <w:t xml:space="preserve">, i.e., </w:t>
      </w:r>
      <w:r w:rsidRPr="009D642E">
        <w:t>propensity score matching and coarsened exact matching</w:t>
      </w:r>
      <w:r>
        <w:t xml:space="preserve"> </w:t>
      </w:r>
      <w:r w:rsidRPr="009D642E">
        <w:t xml:space="preserve">(Rubin, 1976; </w:t>
      </w:r>
      <w:proofErr w:type="spellStart"/>
      <w:r w:rsidRPr="009D642E">
        <w:t>Iacus</w:t>
      </w:r>
      <w:proofErr w:type="spellEnd"/>
      <w:r>
        <w:t xml:space="preserve"> et al., 2011)</w:t>
      </w:r>
      <w:r w:rsidRPr="009D642E">
        <w:t xml:space="preserve">. </w:t>
      </w:r>
      <w:r>
        <w:t>F</w:t>
      </w:r>
      <w:r w:rsidRPr="009D642E">
        <w:t>or a customer that is on TOU rate, we find a control customer that is similar in terms of home and socio-economic characteristics and that is not on TOU rate.</w:t>
      </w:r>
    </w:p>
    <w:p w:rsidR="00E575E0" w:rsidRDefault="00E575E0" w:rsidP="00E575E0"/>
    <w:p w:rsidR="00E575E0" w:rsidRPr="00DE01B1" w:rsidRDefault="00E575E0" w:rsidP="00E575E0">
      <w:r w:rsidRPr="009D642E">
        <w:t xml:space="preserve">We conduct </w:t>
      </w:r>
      <w:r>
        <w:t xml:space="preserve">three </w:t>
      </w:r>
      <w:r w:rsidRPr="009D642E">
        <w:t xml:space="preserve">robustness checks to further </w:t>
      </w:r>
      <w:proofErr w:type="spellStart"/>
      <w:r w:rsidRPr="009D642E">
        <w:t>analyze</w:t>
      </w:r>
      <w:proofErr w:type="spellEnd"/>
      <w:r w:rsidRPr="009D642E">
        <w:t xml:space="preserve"> the adoption of energy efficient central air conditioner and solar panels between TOU and non-TOU consumers. First, we conduct </w:t>
      </w:r>
      <w:r>
        <w:t xml:space="preserve">a </w:t>
      </w:r>
      <w:r w:rsidRPr="009D642E">
        <w:t xml:space="preserve">multinomial logit model to </w:t>
      </w:r>
      <w:proofErr w:type="spellStart"/>
      <w:r w:rsidRPr="009D642E">
        <w:t>analyze</w:t>
      </w:r>
      <w:proofErr w:type="spellEnd"/>
      <w:r w:rsidRPr="009D642E">
        <w:t xml:space="preserve"> combinations of technology choices. Second, we use an instrumental variable approach. </w:t>
      </w:r>
      <w:r>
        <w:t>We</w:t>
      </w:r>
      <w:r w:rsidRPr="009D642E">
        <w:t xml:space="preserve"> obtain predicted </w:t>
      </w:r>
      <w:r>
        <w:t>probabilities</w:t>
      </w:r>
      <w:r w:rsidRPr="009D642E">
        <w:t xml:space="preserve"> of enrolling in TOU using the </w:t>
      </w:r>
      <w:proofErr w:type="spellStart"/>
      <w:r w:rsidRPr="009D642E">
        <w:t>probit</w:t>
      </w:r>
      <w:proofErr w:type="spellEnd"/>
      <w:r w:rsidRPr="009D642E">
        <w:t xml:space="preserve"> model, and then the adoption of solar panels or energy efficiency is regressed on the predicted TOU using Ordinary Least Squares. The instrumental variables used </w:t>
      </w:r>
      <w:r>
        <w:t xml:space="preserve">is the </w:t>
      </w:r>
      <w:r w:rsidRPr="007A5A2A">
        <w:t xml:space="preserve">share of customers on TOU in </w:t>
      </w:r>
      <w:proofErr w:type="spellStart"/>
      <w:r w:rsidRPr="007A5A2A">
        <w:t>neighboring</w:t>
      </w:r>
      <w:proofErr w:type="spellEnd"/>
      <w:r w:rsidRPr="007A5A2A">
        <w:t xml:space="preserve"> zip</w:t>
      </w:r>
      <w:r w:rsidRPr="007A5A2A">
        <w:rPr>
          <w:rFonts w:hint="eastAsia"/>
        </w:rPr>
        <w:t xml:space="preserve"> </w:t>
      </w:r>
      <w:r w:rsidRPr="007A5A2A">
        <w:t>codes</w:t>
      </w:r>
      <w:r>
        <w:t xml:space="preserve">. </w:t>
      </w:r>
      <w:r w:rsidRPr="009D642E">
        <w:t xml:space="preserve">Third, we run a bivariate </w:t>
      </w:r>
      <w:proofErr w:type="spellStart"/>
      <w:r w:rsidRPr="009D642E">
        <w:t>probit</w:t>
      </w:r>
      <w:proofErr w:type="spellEnd"/>
      <w:r w:rsidRPr="009D642E">
        <w:t xml:space="preserve"> model to examine the relationship between TOU </w:t>
      </w:r>
      <w:proofErr w:type="spellStart"/>
      <w:r w:rsidRPr="009D642E">
        <w:t>enrollment</w:t>
      </w:r>
      <w:proofErr w:type="spellEnd"/>
      <w:r w:rsidRPr="009D642E">
        <w:t xml:space="preserve"> and technology adoption</w:t>
      </w:r>
      <w:r>
        <w:t xml:space="preserve">. </w:t>
      </w:r>
      <w:r>
        <w:rPr>
          <w:rFonts w:hint="eastAsia"/>
          <w:color w:val="000000"/>
          <w:shd w:val="clear" w:color="auto" w:fill="FFFFFF"/>
        </w:rPr>
        <w:t xml:space="preserve">Machine learning approach is also adopted by using </w:t>
      </w:r>
      <w:r>
        <w:rPr>
          <w:color w:val="000000"/>
          <w:shd w:val="clear" w:color="auto" w:fill="FFFFFF"/>
        </w:rPr>
        <w:t>c</w:t>
      </w:r>
      <w:r w:rsidRPr="00677C73">
        <w:rPr>
          <w:color w:val="000000"/>
          <w:shd w:val="clear" w:color="auto" w:fill="FFFFFF"/>
        </w:rPr>
        <w:t xml:space="preserve">lassification and regression trees (CART)-based propensity score model. </w:t>
      </w:r>
    </w:p>
    <w:p w:rsidR="00E575E0" w:rsidRPr="00E575E0" w:rsidRDefault="00E575E0" w:rsidP="00E575E0">
      <w:pPr>
        <w:pStyle w:val="Heading2"/>
        <w:rPr>
          <w:i w:val="0"/>
          <w:sz w:val="24"/>
          <w:szCs w:val="24"/>
        </w:rPr>
      </w:pPr>
      <w:r w:rsidRPr="00D767DA">
        <w:rPr>
          <w:i w:val="0"/>
          <w:sz w:val="24"/>
          <w:szCs w:val="24"/>
        </w:rPr>
        <w:t>Results</w:t>
      </w:r>
    </w:p>
    <w:p w:rsidR="00E575E0" w:rsidRPr="003D5AEB" w:rsidRDefault="00E575E0" w:rsidP="00E575E0">
      <w:r>
        <w:t>In sum, the e</w:t>
      </w:r>
      <w:r w:rsidRPr="003D5AEB">
        <w:t>mpirical evidence shows that consumers in Arizona enrolled in TOU are about 0.9-1.4 percentage point or 28% on average more likely to install the solar panel, but there is no evidence that they are also more likely to adopt energy efficient air conditioning. The possible reason might be that while it is obvious that solar panels generate most electricity during peak hours (because the solar radiation is the strongest during afternoon hours which coincide with peak hours), it is not obvious to consumers whether energy efficiency saves the most electricity during peak hours.</w:t>
      </w:r>
    </w:p>
    <w:p w:rsidR="00E575E0" w:rsidRPr="003D5AEB" w:rsidRDefault="00E575E0" w:rsidP="00E575E0"/>
    <w:p w:rsidR="00E575E0" w:rsidRPr="003D5AEB" w:rsidRDefault="00E575E0" w:rsidP="00E575E0">
      <w:pPr>
        <w:rPr>
          <w:color w:val="000000"/>
        </w:rPr>
      </w:pPr>
      <w:r w:rsidRPr="003D5AEB">
        <w:t>The findings highlight that TOU could act as a cost-effective policy instrument to facilitate solar panel adoption, compared to other instruments with a similar magnitude of impacts such as direct rebates. The results have some policy implications for policymakers and utilities. First, utilities could provide more information regarding the benefit of TOU for solar adopters. Second</w:t>
      </w:r>
      <w:r w:rsidRPr="003D5AEB">
        <w:rPr>
          <w:rFonts w:hint="eastAsia"/>
        </w:rPr>
        <w:t>,</w:t>
      </w:r>
      <w:r w:rsidRPr="003D5AEB">
        <w:t xml:space="preserve"> p</w:t>
      </w:r>
      <w:r w:rsidRPr="003D5AEB">
        <w:rPr>
          <w:rFonts w:hint="eastAsia"/>
        </w:rPr>
        <w:t>olicies could be implemented to provide more information to consumers about time</w:t>
      </w:r>
      <w:r w:rsidRPr="003D5AEB">
        <w:t>s</w:t>
      </w:r>
      <w:r w:rsidRPr="003D5AEB">
        <w:rPr>
          <w:rFonts w:hint="eastAsia"/>
        </w:rPr>
        <w:t xml:space="preserve"> when energy savings occur.</w:t>
      </w:r>
      <w:r w:rsidRPr="003D5AEB">
        <w:rPr>
          <w:rFonts w:hint="eastAsia"/>
          <w:color w:val="000000"/>
        </w:rPr>
        <w:t xml:space="preserve"> </w:t>
      </w:r>
      <w:r w:rsidRPr="003D5AEB">
        <w:rPr>
          <w:rFonts w:hint="eastAsia"/>
        </w:rPr>
        <w:t>M</w:t>
      </w:r>
      <w:r w:rsidRPr="003D5AEB">
        <w:t xml:space="preserve">ore studies are needed to show empirical evidence about the exact savings by hour of day for energy efficient appliances. </w:t>
      </w:r>
      <w:r w:rsidRPr="003D5AEB">
        <w:rPr>
          <w:color w:val="000000"/>
        </w:rPr>
        <w:t xml:space="preserve">Studies on the </w:t>
      </w:r>
      <w:r w:rsidRPr="003D5AEB">
        <w:rPr>
          <w:rFonts w:hint="eastAsia"/>
          <w:color w:val="000000"/>
        </w:rPr>
        <w:t xml:space="preserve">timing of </w:t>
      </w:r>
      <w:r w:rsidRPr="003D5AEB">
        <w:rPr>
          <w:color w:val="000000"/>
        </w:rPr>
        <w:t>energy savings also help with the understanding of the comparison between actual social savings and private savings</w:t>
      </w:r>
      <w:r>
        <w:rPr>
          <w:color w:val="000000"/>
        </w:rPr>
        <w:t xml:space="preserve"> </w:t>
      </w:r>
      <w:r w:rsidRPr="002A1A09">
        <w:t>(</w:t>
      </w:r>
      <w:proofErr w:type="spellStart"/>
      <w:r w:rsidRPr="002A1A09">
        <w:rPr>
          <w:color w:val="000000"/>
        </w:rPr>
        <w:t>Boomhower</w:t>
      </w:r>
      <w:proofErr w:type="spellEnd"/>
      <w:r w:rsidRPr="002A1A09">
        <w:rPr>
          <w:color w:val="000000"/>
        </w:rPr>
        <w:t xml:space="preserve"> and Davis, 2017</w:t>
      </w:r>
      <w:r>
        <w:rPr>
          <w:color w:val="000000"/>
        </w:rPr>
        <w:t>)</w:t>
      </w:r>
      <w:r w:rsidRPr="003D5AEB">
        <w:rPr>
          <w:color w:val="000000"/>
        </w:rPr>
        <w:t>.</w:t>
      </w:r>
    </w:p>
    <w:p w:rsidR="00E575E0" w:rsidRPr="003D5AEB" w:rsidRDefault="00E575E0" w:rsidP="00E575E0">
      <w:pPr>
        <w:rPr>
          <w:color w:val="000000"/>
        </w:rPr>
      </w:pPr>
    </w:p>
    <w:p w:rsidR="00E575E0" w:rsidRPr="003D5AEB" w:rsidRDefault="00E575E0" w:rsidP="00E575E0">
      <w:pPr>
        <w:pStyle w:val="CommentText"/>
        <w:rPr>
          <w:rFonts w:ascii="Times New Roman" w:hAnsi="Times New Roman"/>
          <w:sz w:val="20"/>
          <w:szCs w:val="20"/>
        </w:rPr>
      </w:pPr>
      <w:r w:rsidRPr="003D5AEB">
        <w:rPr>
          <w:rFonts w:ascii="Times New Roman" w:hAnsi="Times New Roman"/>
          <w:sz w:val="20"/>
          <w:szCs w:val="20"/>
        </w:rPr>
        <w:t>TOU has a large potential to enhance</w:t>
      </w:r>
      <w:r w:rsidRPr="003D5AEB">
        <w:rPr>
          <w:rFonts w:ascii="Times New Roman" w:hAnsi="Times New Roman" w:hint="eastAsia"/>
          <w:sz w:val="20"/>
          <w:szCs w:val="20"/>
        </w:rPr>
        <w:t xml:space="preserve"> </w:t>
      </w:r>
      <w:r w:rsidRPr="003D5AEB">
        <w:rPr>
          <w:rFonts w:ascii="Times New Roman" w:hAnsi="Times New Roman"/>
          <w:sz w:val="20"/>
          <w:szCs w:val="20"/>
        </w:rPr>
        <w:t>social welfare</w:t>
      </w:r>
      <w:r w:rsidRPr="003D5AEB">
        <w:rPr>
          <w:rFonts w:ascii="Times New Roman" w:hAnsi="Times New Roman" w:hint="eastAsia"/>
          <w:sz w:val="20"/>
          <w:szCs w:val="20"/>
        </w:rPr>
        <w:t>.</w:t>
      </w:r>
      <w:r w:rsidRPr="003D5AEB">
        <w:rPr>
          <w:rFonts w:ascii="Times New Roman" w:hAnsi="Times New Roman"/>
          <w:sz w:val="20"/>
          <w:szCs w:val="20"/>
        </w:rPr>
        <w:t xml:space="preserve"> F</w:t>
      </w:r>
      <w:r w:rsidRPr="003D5AEB">
        <w:rPr>
          <w:rFonts w:ascii="Times New Roman" w:hAnsi="Times New Roman" w:hint="eastAsia"/>
          <w:sz w:val="20"/>
          <w:szCs w:val="20"/>
        </w:rPr>
        <w:t>irstly, TOU</w:t>
      </w:r>
      <w:r w:rsidRPr="003D5AEB">
        <w:rPr>
          <w:rFonts w:ascii="Times New Roman" w:hAnsi="Times New Roman"/>
          <w:sz w:val="20"/>
          <w:szCs w:val="20"/>
        </w:rPr>
        <w:t xml:space="preserve"> reduces the demand for electricity generated by fossil fuels and reduces the negative externalities such as pollutants and carbon emissions. Secondly, TOU </w:t>
      </w:r>
      <w:r w:rsidRPr="003D5AEB">
        <w:rPr>
          <w:rFonts w:ascii="Times New Roman" w:eastAsia="Times New Roman" w:hAnsi="Times New Roman"/>
          <w:sz w:val="20"/>
          <w:szCs w:val="20"/>
        </w:rPr>
        <w:t>align</w:t>
      </w:r>
      <w:r w:rsidRPr="003D5AEB">
        <w:rPr>
          <w:rFonts w:ascii="Times New Roman" w:eastAsia="Times New Roman" w:hAnsi="Times New Roman" w:hint="eastAsia"/>
          <w:sz w:val="20"/>
          <w:szCs w:val="20"/>
        </w:rPr>
        <w:t>s</w:t>
      </w:r>
      <w:r w:rsidRPr="003D5AEB">
        <w:rPr>
          <w:rFonts w:ascii="Times New Roman" w:eastAsia="Times New Roman" w:hAnsi="Times New Roman"/>
          <w:sz w:val="20"/>
          <w:szCs w:val="20"/>
        </w:rPr>
        <w:t xml:space="preserve"> the social costs of energy consumption with the marginal prices, possibly increasing the </w:t>
      </w:r>
      <w:r w:rsidRPr="003D5AEB">
        <w:rPr>
          <w:rFonts w:ascii="Times New Roman" w:eastAsia="Times New Roman" w:hAnsi="Times New Roman" w:hint="eastAsia"/>
          <w:sz w:val="20"/>
          <w:szCs w:val="20"/>
        </w:rPr>
        <w:t xml:space="preserve">market </w:t>
      </w:r>
      <w:r w:rsidRPr="003D5AEB">
        <w:rPr>
          <w:rFonts w:ascii="Times New Roman" w:eastAsia="Times New Roman" w:hAnsi="Times New Roman"/>
          <w:sz w:val="20"/>
          <w:szCs w:val="20"/>
        </w:rPr>
        <w:t xml:space="preserve">efficiency by reducing the deadweight loss. </w:t>
      </w:r>
      <w:r w:rsidRPr="003D5AEB">
        <w:rPr>
          <w:rFonts w:ascii="Times New Roman" w:hAnsi="Times New Roman" w:hint="eastAsia"/>
          <w:sz w:val="20"/>
          <w:szCs w:val="20"/>
        </w:rPr>
        <w:t>Thirdly, t</w:t>
      </w:r>
      <w:r w:rsidRPr="003D5AEB">
        <w:rPr>
          <w:rFonts w:ascii="Times New Roman" w:hAnsi="Times New Roman"/>
          <w:sz w:val="20"/>
          <w:szCs w:val="20"/>
        </w:rPr>
        <w:t>h</w:t>
      </w:r>
      <w:r w:rsidRPr="003D5AEB">
        <w:rPr>
          <w:rFonts w:ascii="Times New Roman" w:hAnsi="Times New Roman" w:hint="eastAsia"/>
          <w:sz w:val="20"/>
          <w:szCs w:val="20"/>
        </w:rPr>
        <w:t>is study</w:t>
      </w:r>
      <w:r w:rsidRPr="003D5AEB">
        <w:rPr>
          <w:rFonts w:ascii="Times New Roman" w:hAnsi="Times New Roman"/>
          <w:sz w:val="20"/>
          <w:szCs w:val="20"/>
        </w:rPr>
        <w:t xml:space="preserve"> points out another approach through which TOU could </w:t>
      </w:r>
      <w:r w:rsidRPr="003D5AEB">
        <w:rPr>
          <w:rFonts w:ascii="Times New Roman" w:hAnsi="Times New Roman" w:hint="eastAsia"/>
          <w:sz w:val="20"/>
          <w:szCs w:val="20"/>
        </w:rPr>
        <w:t>enhance social welfare, which is promoting the adoption of energy technologies. B</w:t>
      </w:r>
      <w:r w:rsidRPr="003D5AEB">
        <w:rPr>
          <w:rFonts w:ascii="Times New Roman" w:hAnsi="Times New Roman"/>
          <w:sz w:val="20"/>
          <w:szCs w:val="20"/>
        </w:rPr>
        <w:t>y showing that TOU has a potential to increase the social welfare, our results</w:t>
      </w:r>
      <w:r w:rsidRPr="003D5AEB">
        <w:rPr>
          <w:rFonts w:ascii="Times New Roman" w:hAnsi="Times New Roman" w:hint="eastAsia"/>
          <w:sz w:val="20"/>
          <w:szCs w:val="20"/>
        </w:rPr>
        <w:t xml:space="preserve"> </w:t>
      </w:r>
      <w:r w:rsidRPr="003D5AEB">
        <w:rPr>
          <w:rFonts w:ascii="Times New Roman" w:hAnsi="Times New Roman"/>
          <w:sz w:val="20"/>
          <w:szCs w:val="20"/>
        </w:rPr>
        <w:t>add to the discussion of whether TOU should be mandated or voluntary for the residential sector</w:t>
      </w:r>
      <w:r w:rsidRPr="003D5AEB">
        <w:rPr>
          <w:rFonts w:ascii="Times New Roman" w:hAnsi="Times New Roman"/>
          <w:b/>
          <w:i/>
          <w:sz w:val="20"/>
          <w:szCs w:val="20"/>
        </w:rPr>
        <w:t xml:space="preserve">.  </w:t>
      </w:r>
    </w:p>
    <w:p w:rsidR="00E575E0" w:rsidRPr="00D767DA" w:rsidRDefault="00E575E0" w:rsidP="00E575E0">
      <w:pPr>
        <w:pStyle w:val="Heading2"/>
        <w:jc w:val="both"/>
        <w:rPr>
          <w:i w:val="0"/>
          <w:sz w:val="24"/>
          <w:szCs w:val="24"/>
        </w:rPr>
      </w:pPr>
      <w:r w:rsidRPr="00D767DA">
        <w:rPr>
          <w:i w:val="0"/>
          <w:sz w:val="24"/>
          <w:szCs w:val="24"/>
        </w:rPr>
        <w:t>Conclusions</w:t>
      </w:r>
    </w:p>
    <w:p w:rsidR="00E575E0" w:rsidRPr="00E575E0" w:rsidRDefault="00E575E0" w:rsidP="00CA5633">
      <w:r w:rsidRPr="009D642E">
        <w:t>This paper compares investment decisions in energy efficient appliances and solar panels between consumers on flat rates (marginal electricity prices are constant throughout the day) and those on TOU rates.</w:t>
      </w:r>
      <w:r>
        <w:t xml:space="preserve"> </w:t>
      </w:r>
      <w:r w:rsidRPr="009D642E">
        <w:t>Empirical evidence su</w:t>
      </w:r>
      <w:r w:rsidRPr="003C213A">
        <w:t xml:space="preserve">ggests that TOU consumers are </w:t>
      </w:r>
      <w:r>
        <w:t>28</w:t>
      </w:r>
      <w:r w:rsidRPr="003C213A">
        <w:t xml:space="preserve">% more likely to install solar panels, but there is no empirical evidence that they are also more likely </w:t>
      </w:r>
      <w:r w:rsidRPr="003C213A">
        <w:rPr>
          <w:rFonts w:hint="eastAsia"/>
        </w:rPr>
        <w:t>to adopt</w:t>
      </w:r>
      <w:r w:rsidRPr="003C213A">
        <w:t xml:space="preserve"> energy efficient AC. While TOU is found to enhance social welfare through aligning social costs with the p</w:t>
      </w:r>
      <w:r>
        <w:t>rivate costs (</w:t>
      </w:r>
      <w:proofErr w:type="spellStart"/>
      <w:r w:rsidRPr="003C213A">
        <w:t>Novan</w:t>
      </w:r>
      <w:proofErr w:type="spellEnd"/>
      <w:r w:rsidRPr="003C213A">
        <w:t xml:space="preserve"> and Smith, 2017), this study shows that a TOU plan is a low-cost instrument to promote solar panel adoption and has almost the same magnitude of </w:t>
      </w:r>
      <w:r w:rsidRPr="0066609D">
        <w:t>impact on promoting adoption</w:t>
      </w:r>
      <w:r>
        <w:rPr>
          <w:rFonts w:hint="eastAsia"/>
        </w:rPr>
        <w:t xml:space="preserve"> as</w:t>
      </w:r>
      <w:r w:rsidRPr="0066609D">
        <w:t xml:space="preserve"> a rebate policy </w:t>
      </w:r>
      <w:r>
        <w:rPr>
          <w:rFonts w:hint="eastAsia"/>
        </w:rPr>
        <w:t>of</w:t>
      </w:r>
      <w:r w:rsidRPr="0066609D">
        <w:t xml:space="preserve"> </w:t>
      </w:r>
      <w:r>
        <w:t>$11</w:t>
      </w:r>
      <w:r w:rsidRPr="008D5630">
        <w:t>,</w:t>
      </w:r>
      <w:r>
        <w:t xml:space="preserve">770, </w:t>
      </w:r>
      <w:r w:rsidRPr="003C213A">
        <w:t>which adds to a new layer</w:t>
      </w:r>
      <w:r w:rsidRPr="00DD4579">
        <w:t xml:space="preserve"> of potential benefit of adopting TOU </w:t>
      </w:r>
      <w:r>
        <w:rPr>
          <w:rFonts w:hint="eastAsia"/>
        </w:rPr>
        <w:t xml:space="preserve">pricing </w:t>
      </w:r>
      <w:r w:rsidRPr="00DD4579">
        <w:t>plan.</w:t>
      </w:r>
    </w:p>
    <w:p w:rsidR="00E575E0" w:rsidRPr="00E575E0" w:rsidRDefault="00E575E0" w:rsidP="00E575E0">
      <w:pPr>
        <w:pStyle w:val="Heading2"/>
        <w:rPr>
          <w:i w:val="0"/>
          <w:sz w:val="24"/>
          <w:szCs w:val="24"/>
        </w:rPr>
      </w:pPr>
      <w:r w:rsidRPr="00D767DA">
        <w:rPr>
          <w:i w:val="0"/>
          <w:sz w:val="24"/>
          <w:szCs w:val="24"/>
        </w:rPr>
        <w:t>References</w:t>
      </w:r>
    </w:p>
    <w:p w:rsidR="00E575E0" w:rsidRDefault="00E575E0" w:rsidP="00E575E0">
      <w:pPr>
        <w:ind w:left="720" w:hanging="720"/>
        <w:rPr>
          <w:color w:val="000000"/>
          <w:shd w:val="clear" w:color="auto" w:fill="FFFFFF"/>
        </w:rPr>
      </w:pPr>
      <w:proofErr w:type="spellStart"/>
      <w:r w:rsidRPr="000702C0">
        <w:rPr>
          <w:color w:val="000000"/>
          <w:shd w:val="clear" w:color="auto" w:fill="FFFFFF"/>
        </w:rPr>
        <w:t>Boomhower</w:t>
      </w:r>
      <w:proofErr w:type="spellEnd"/>
      <w:r w:rsidRPr="000702C0">
        <w:rPr>
          <w:color w:val="000000"/>
          <w:shd w:val="clear" w:color="auto" w:fill="FFFFFF"/>
        </w:rPr>
        <w:t>, J. P., &amp; Davis, L. W. (2017). </w:t>
      </w:r>
      <w:r w:rsidRPr="000702C0">
        <w:rPr>
          <w:i/>
          <w:iCs/>
          <w:color w:val="000000"/>
          <w:shd w:val="clear" w:color="auto" w:fill="FFFFFF"/>
        </w:rPr>
        <w:t>Do energy efficiency investments deliver at the right time?</w:t>
      </w:r>
      <w:r w:rsidRPr="000702C0">
        <w:rPr>
          <w:color w:val="000000"/>
          <w:shd w:val="clear" w:color="auto" w:fill="FFFFFF"/>
        </w:rPr>
        <w:t> (No. w23097). National Bureau of Economic Research.</w:t>
      </w:r>
    </w:p>
    <w:p w:rsidR="00E575E0" w:rsidRDefault="00E575E0" w:rsidP="00E575E0">
      <w:pPr>
        <w:ind w:left="720" w:hanging="720"/>
        <w:rPr>
          <w:color w:val="000000"/>
          <w:shd w:val="clear" w:color="auto" w:fill="FFFFFF"/>
        </w:rPr>
      </w:pPr>
      <w:r w:rsidRPr="00444A2C">
        <w:rPr>
          <w:color w:val="000000"/>
          <w:shd w:val="clear" w:color="auto" w:fill="FFFFFF"/>
        </w:rPr>
        <w:t xml:space="preserve">Davis, L. W. (2011). Evaluating the slow adoption of energy efficient investments: are renters less likely to have energy efficient </w:t>
      </w:r>
      <w:proofErr w:type="gramStart"/>
      <w:r w:rsidRPr="00444A2C">
        <w:rPr>
          <w:color w:val="000000"/>
          <w:shd w:val="clear" w:color="auto" w:fill="FFFFFF"/>
        </w:rPr>
        <w:t>appliances?.</w:t>
      </w:r>
      <w:proofErr w:type="gramEnd"/>
      <w:r w:rsidRPr="00444A2C">
        <w:rPr>
          <w:color w:val="000000"/>
          <w:shd w:val="clear" w:color="auto" w:fill="FFFFFF"/>
        </w:rPr>
        <w:t xml:space="preserve"> In </w:t>
      </w:r>
      <w:r w:rsidRPr="00444A2C">
        <w:rPr>
          <w:i/>
          <w:iCs/>
          <w:color w:val="000000"/>
          <w:shd w:val="clear" w:color="auto" w:fill="FFFFFF"/>
        </w:rPr>
        <w:t>The design and implementation of US climate policy</w:t>
      </w:r>
      <w:r w:rsidRPr="00444A2C">
        <w:rPr>
          <w:color w:val="000000"/>
          <w:shd w:val="clear" w:color="auto" w:fill="FFFFFF"/>
        </w:rPr>
        <w:t> (pp. 301-316). University of Chicago Press.</w:t>
      </w:r>
    </w:p>
    <w:p w:rsidR="00E575E0" w:rsidRDefault="00E575E0" w:rsidP="00E575E0">
      <w:pPr>
        <w:ind w:left="720" w:hanging="720"/>
        <w:rPr>
          <w:color w:val="000000"/>
          <w:shd w:val="clear" w:color="auto" w:fill="FFFFFF"/>
        </w:rPr>
      </w:pPr>
      <w:r w:rsidRPr="00444A2C">
        <w:rPr>
          <w:color w:val="000000"/>
          <w:shd w:val="clear" w:color="auto" w:fill="FFFFFF"/>
        </w:rPr>
        <w:t>Gillingham, K., Newell, R. G., &amp; Palmer, K. (2009). Energy efficiency economics and policy.</w:t>
      </w:r>
      <w:r w:rsidRPr="00444A2C">
        <w:rPr>
          <w:rStyle w:val="apple-converted-space"/>
          <w:color w:val="000000"/>
          <w:shd w:val="clear" w:color="auto" w:fill="FFFFFF"/>
        </w:rPr>
        <w:t> </w:t>
      </w:r>
      <w:proofErr w:type="spellStart"/>
      <w:r w:rsidRPr="00444A2C">
        <w:rPr>
          <w:i/>
          <w:iCs/>
          <w:color w:val="000000"/>
          <w:shd w:val="clear" w:color="auto" w:fill="FFFFFF"/>
        </w:rPr>
        <w:t>Annu</w:t>
      </w:r>
      <w:proofErr w:type="spellEnd"/>
      <w:r w:rsidRPr="00444A2C">
        <w:rPr>
          <w:i/>
          <w:iCs/>
          <w:color w:val="000000"/>
          <w:shd w:val="clear" w:color="auto" w:fill="FFFFFF"/>
        </w:rPr>
        <w:t xml:space="preserve">. Rev. </w:t>
      </w:r>
      <w:proofErr w:type="spellStart"/>
      <w:r w:rsidRPr="00444A2C">
        <w:rPr>
          <w:i/>
          <w:iCs/>
          <w:color w:val="000000"/>
          <w:shd w:val="clear" w:color="auto" w:fill="FFFFFF"/>
        </w:rPr>
        <w:t>Resour</w:t>
      </w:r>
      <w:proofErr w:type="spellEnd"/>
      <w:r w:rsidRPr="00444A2C">
        <w:rPr>
          <w:i/>
          <w:iCs/>
          <w:color w:val="000000"/>
          <w:shd w:val="clear" w:color="auto" w:fill="FFFFFF"/>
        </w:rPr>
        <w:t>. Econ.</w:t>
      </w:r>
      <w:r w:rsidRPr="00444A2C">
        <w:rPr>
          <w:color w:val="000000"/>
          <w:shd w:val="clear" w:color="auto" w:fill="FFFFFF"/>
        </w:rPr>
        <w:t>,</w:t>
      </w:r>
      <w:r w:rsidRPr="00444A2C">
        <w:rPr>
          <w:rStyle w:val="apple-converted-space"/>
          <w:color w:val="000000"/>
          <w:shd w:val="clear" w:color="auto" w:fill="FFFFFF"/>
        </w:rPr>
        <w:t> </w:t>
      </w:r>
      <w:r w:rsidRPr="00444A2C">
        <w:rPr>
          <w:i/>
          <w:iCs/>
          <w:color w:val="000000"/>
          <w:shd w:val="clear" w:color="auto" w:fill="FFFFFF"/>
        </w:rPr>
        <w:t>1</w:t>
      </w:r>
      <w:r w:rsidRPr="00444A2C">
        <w:rPr>
          <w:color w:val="000000"/>
          <w:shd w:val="clear" w:color="auto" w:fill="FFFFFF"/>
        </w:rPr>
        <w:t>(1), 597-620.</w:t>
      </w:r>
    </w:p>
    <w:p w:rsidR="00E575E0" w:rsidRDefault="00E575E0" w:rsidP="00E575E0">
      <w:pPr>
        <w:ind w:left="720" w:hanging="720"/>
        <w:rPr>
          <w:color w:val="222222"/>
          <w:shd w:val="clear" w:color="auto" w:fill="FFFFFF"/>
        </w:rPr>
      </w:pPr>
      <w:proofErr w:type="spellStart"/>
      <w:r w:rsidRPr="00B60A1D">
        <w:rPr>
          <w:color w:val="222222"/>
          <w:shd w:val="clear" w:color="auto" w:fill="FFFFFF"/>
        </w:rPr>
        <w:t>Iacus</w:t>
      </w:r>
      <w:proofErr w:type="spellEnd"/>
      <w:r w:rsidRPr="00B60A1D">
        <w:rPr>
          <w:color w:val="222222"/>
          <w:shd w:val="clear" w:color="auto" w:fill="FFFFFF"/>
        </w:rPr>
        <w:t xml:space="preserve">, S. M., King, G., &amp; </w:t>
      </w:r>
      <w:proofErr w:type="spellStart"/>
      <w:r w:rsidRPr="00B60A1D">
        <w:rPr>
          <w:color w:val="222222"/>
          <w:shd w:val="clear" w:color="auto" w:fill="FFFFFF"/>
        </w:rPr>
        <w:t>Porro</w:t>
      </w:r>
      <w:proofErr w:type="spellEnd"/>
      <w:r w:rsidRPr="00B60A1D">
        <w:rPr>
          <w:color w:val="222222"/>
          <w:shd w:val="clear" w:color="auto" w:fill="FFFFFF"/>
        </w:rPr>
        <w:t>, G. (2011). Multivariate matching methods that are monotonic imbalance bounding. </w:t>
      </w:r>
      <w:r w:rsidRPr="00B60A1D">
        <w:rPr>
          <w:i/>
          <w:iCs/>
          <w:color w:val="222222"/>
          <w:shd w:val="clear" w:color="auto" w:fill="FFFFFF"/>
        </w:rPr>
        <w:t>Journal of the American Statistical Association</w:t>
      </w:r>
      <w:r w:rsidRPr="00B60A1D">
        <w:rPr>
          <w:color w:val="222222"/>
          <w:shd w:val="clear" w:color="auto" w:fill="FFFFFF"/>
        </w:rPr>
        <w:t>, </w:t>
      </w:r>
      <w:r w:rsidRPr="00B60A1D">
        <w:rPr>
          <w:i/>
          <w:iCs/>
          <w:color w:val="222222"/>
          <w:shd w:val="clear" w:color="auto" w:fill="FFFFFF"/>
        </w:rPr>
        <w:t>106</w:t>
      </w:r>
      <w:r w:rsidRPr="00B60A1D">
        <w:rPr>
          <w:color w:val="222222"/>
          <w:shd w:val="clear" w:color="auto" w:fill="FFFFFF"/>
        </w:rPr>
        <w:t>(493), 345-361.</w:t>
      </w:r>
    </w:p>
    <w:p w:rsidR="00E575E0" w:rsidRPr="00444A2C" w:rsidRDefault="00E575E0" w:rsidP="00E575E0">
      <w:pPr>
        <w:ind w:left="720" w:hanging="720"/>
        <w:rPr>
          <w:color w:val="000000"/>
        </w:rPr>
      </w:pPr>
      <w:proofErr w:type="spellStart"/>
      <w:r w:rsidRPr="00444A2C">
        <w:rPr>
          <w:color w:val="000000"/>
          <w:shd w:val="clear" w:color="auto" w:fill="FFFFFF"/>
        </w:rPr>
        <w:t>Novan</w:t>
      </w:r>
      <w:proofErr w:type="spellEnd"/>
      <w:r w:rsidRPr="00444A2C">
        <w:rPr>
          <w:color w:val="000000"/>
          <w:shd w:val="clear" w:color="auto" w:fill="FFFFFF"/>
        </w:rPr>
        <w:t>, K., &amp; Smith, A. (2017). </w:t>
      </w:r>
      <w:r w:rsidRPr="00444A2C">
        <w:rPr>
          <w:i/>
          <w:iCs/>
          <w:color w:val="000000"/>
          <w:shd w:val="clear" w:color="auto" w:fill="FFFFFF"/>
        </w:rPr>
        <w:t>The Incentive to Overinvest in Energy Efficiency: Evidence from Hourly Smart-Meter Data</w:t>
      </w:r>
      <w:r w:rsidRPr="00444A2C">
        <w:rPr>
          <w:color w:val="000000"/>
          <w:shd w:val="clear" w:color="auto" w:fill="FFFFFF"/>
        </w:rPr>
        <w:t xml:space="preserve">. UC Davis Working Paper April. Journal of the Association of Environmental and Resource Economists. </w:t>
      </w:r>
    </w:p>
    <w:p w:rsidR="00E575E0" w:rsidRDefault="00E575E0" w:rsidP="00E575E0">
      <w:pPr>
        <w:ind w:left="720" w:hanging="720"/>
        <w:rPr>
          <w:color w:val="000000"/>
          <w:shd w:val="clear" w:color="auto" w:fill="FFFFFF"/>
        </w:rPr>
      </w:pPr>
      <w:r w:rsidRPr="00444A2C">
        <w:rPr>
          <w:color w:val="000000"/>
          <w:shd w:val="clear" w:color="auto" w:fill="FFFFFF"/>
        </w:rPr>
        <w:t>Pérez-Lombard, L., Ortiz, J., &amp; Pout, C. (2008). A review on buildings energy consumption information. </w:t>
      </w:r>
      <w:r w:rsidRPr="00444A2C">
        <w:rPr>
          <w:i/>
          <w:iCs/>
          <w:color w:val="000000"/>
          <w:shd w:val="clear" w:color="auto" w:fill="FFFFFF"/>
        </w:rPr>
        <w:t>Energy and Buildings</w:t>
      </w:r>
      <w:r w:rsidRPr="00444A2C">
        <w:rPr>
          <w:color w:val="000000"/>
          <w:shd w:val="clear" w:color="auto" w:fill="FFFFFF"/>
        </w:rPr>
        <w:t>, </w:t>
      </w:r>
      <w:r w:rsidRPr="00444A2C">
        <w:rPr>
          <w:i/>
          <w:iCs/>
          <w:color w:val="000000"/>
          <w:shd w:val="clear" w:color="auto" w:fill="FFFFFF"/>
        </w:rPr>
        <w:t>40</w:t>
      </w:r>
      <w:r w:rsidRPr="00444A2C">
        <w:rPr>
          <w:color w:val="000000"/>
          <w:shd w:val="clear" w:color="auto" w:fill="FFFFFF"/>
        </w:rPr>
        <w:t>(3), 394-398.</w:t>
      </w:r>
    </w:p>
    <w:p w:rsidR="00E575E0" w:rsidRDefault="00E575E0" w:rsidP="00E575E0">
      <w:pPr>
        <w:ind w:left="720" w:hanging="720"/>
        <w:rPr>
          <w:color w:val="222222"/>
          <w:shd w:val="clear" w:color="auto" w:fill="FFFFFF"/>
        </w:rPr>
      </w:pPr>
      <w:r w:rsidRPr="00B60A1D">
        <w:rPr>
          <w:color w:val="222222"/>
          <w:shd w:val="clear" w:color="auto" w:fill="FFFFFF"/>
        </w:rPr>
        <w:t>Rubin, D. B. (1974). Multivariate matching methods that are equal percent bias reducing, I: Some examples. </w:t>
      </w:r>
      <w:r w:rsidRPr="00B60A1D">
        <w:rPr>
          <w:i/>
          <w:iCs/>
          <w:color w:val="222222"/>
          <w:shd w:val="clear" w:color="auto" w:fill="FFFFFF"/>
        </w:rPr>
        <w:t>ETS Research Report Series</w:t>
      </w:r>
      <w:r w:rsidRPr="00B60A1D">
        <w:rPr>
          <w:color w:val="222222"/>
          <w:shd w:val="clear" w:color="auto" w:fill="FFFFFF"/>
        </w:rPr>
        <w:t>, </w:t>
      </w:r>
      <w:r w:rsidRPr="00B60A1D">
        <w:rPr>
          <w:i/>
          <w:iCs/>
          <w:color w:val="222222"/>
          <w:shd w:val="clear" w:color="auto" w:fill="FFFFFF"/>
        </w:rPr>
        <w:t>1974</w:t>
      </w:r>
      <w:r w:rsidRPr="00B60A1D">
        <w:rPr>
          <w:color w:val="222222"/>
          <w:shd w:val="clear" w:color="auto" w:fill="FFFFFF"/>
        </w:rPr>
        <w:t>(2).</w:t>
      </w:r>
    </w:p>
    <w:p w:rsidR="00AF775D" w:rsidRDefault="00617AC3"/>
    <w:sectPr w:rsidR="00AF775D" w:rsidSect="00E575E0">
      <w:headerReference w:type="first" r:id="rId6"/>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C3" w:rsidRDefault="00617AC3">
      <w:r>
        <w:separator/>
      </w:r>
    </w:p>
  </w:endnote>
  <w:endnote w:type="continuationSeparator" w:id="0">
    <w:p w:rsidR="00617AC3" w:rsidRDefault="006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C3" w:rsidRDefault="00617AC3">
      <w:r>
        <w:separator/>
      </w:r>
    </w:p>
  </w:footnote>
  <w:footnote w:type="continuationSeparator" w:id="0">
    <w:p w:rsidR="00617AC3" w:rsidRDefault="0061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E575E0" w:rsidP="00DC69F1">
    <w:pPr>
      <w:pStyle w:val="Header"/>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0"/>
    <w:rsid w:val="002F5DDE"/>
    <w:rsid w:val="003A35D0"/>
    <w:rsid w:val="00441630"/>
    <w:rsid w:val="005F74CD"/>
    <w:rsid w:val="00617AC3"/>
    <w:rsid w:val="00A43908"/>
    <w:rsid w:val="00CA5633"/>
    <w:rsid w:val="00DC482C"/>
    <w:rsid w:val="00E5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0C99"/>
  <w14:defaultImageDpi w14:val="32767"/>
  <w15:chartTrackingRefBased/>
  <w15:docId w15:val="{C32BC288-73DB-184A-B681-34AD9C3A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5E0"/>
    <w:rPr>
      <w:rFonts w:ascii="Times New Roman" w:eastAsia="Times New Roman" w:hAnsi="Times New Roman" w:cs="Times New Roman"/>
      <w:sz w:val="20"/>
      <w:szCs w:val="20"/>
      <w:lang w:val="en-GB" w:eastAsia="en-US"/>
    </w:rPr>
  </w:style>
  <w:style w:type="paragraph" w:styleId="Heading2">
    <w:name w:val="heading 2"/>
    <w:basedOn w:val="Normal"/>
    <w:next w:val="Normal"/>
    <w:link w:val="Heading2Char"/>
    <w:qFormat/>
    <w:rsid w:val="00E575E0"/>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5E0"/>
    <w:rPr>
      <w:rFonts w:ascii="Arial" w:eastAsia="Times New Roman" w:hAnsi="Arial" w:cs="Times New Roman"/>
      <w:b/>
      <w:i/>
      <w:sz w:val="22"/>
      <w:szCs w:val="20"/>
      <w:lang w:val="en-GB" w:eastAsia="en-US"/>
    </w:rPr>
  </w:style>
  <w:style w:type="paragraph" w:styleId="Header">
    <w:name w:val="header"/>
    <w:basedOn w:val="Normal"/>
    <w:link w:val="HeaderChar"/>
    <w:rsid w:val="00E575E0"/>
    <w:pPr>
      <w:tabs>
        <w:tab w:val="center" w:pos="5400"/>
        <w:tab w:val="right" w:pos="10800"/>
      </w:tabs>
    </w:pPr>
    <w:rPr>
      <w:rFonts w:ascii="Arial" w:hAnsi="Arial"/>
      <w:sz w:val="16"/>
    </w:rPr>
  </w:style>
  <w:style w:type="character" w:customStyle="1" w:styleId="HeaderChar">
    <w:name w:val="Header Char"/>
    <w:basedOn w:val="DefaultParagraphFont"/>
    <w:link w:val="Header"/>
    <w:rsid w:val="00E575E0"/>
    <w:rPr>
      <w:rFonts w:ascii="Arial" w:eastAsia="Times New Roman" w:hAnsi="Arial" w:cs="Times New Roman"/>
      <w:sz w:val="16"/>
      <w:szCs w:val="20"/>
      <w:lang w:val="en-GB" w:eastAsia="en-US"/>
    </w:rPr>
  </w:style>
  <w:style w:type="paragraph" w:styleId="BodyText">
    <w:name w:val="Body Text"/>
    <w:basedOn w:val="Normal"/>
    <w:link w:val="BodyTextChar"/>
    <w:rsid w:val="00E575E0"/>
    <w:rPr>
      <w:sz w:val="22"/>
    </w:rPr>
  </w:style>
  <w:style w:type="character" w:customStyle="1" w:styleId="BodyTextChar">
    <w:name w:val="Body Text Char"/>
    <w:basedOn w:val="DefaultParagraphFont"/>
    <w:link w:val="BodyText"/>
    <w:rsid w:val="00E575E0"/>
    <w:rPr>
      <w:rFonts w:ascii="Times New Roman" w:eastAsia="Times New Roman" w:hAnsi="Times New Roman" w:cs="Times New Roman"/>
      <w:sz w:val="22"/>
      <w:szCs w:val="20"/>
      <w:lang w:val="en-GB" w:eastAsia="en-US"/>
    </w:rPr>
  </w:style>
  <w:style w:type="paragraph" w:styleId="BodyText2">
    <w:name w:val="Body Text 2"/>
    <w:basedOn w:val="Normal"/>
    <w:link w:val="BodyText2Char"/>
    <w:rsid w:val="00E575E0"/>
    <w:pPr>
      <w:jc w:val="both"/>
    </w:pPr>
  </w:style>
  <w:style w:type="character" w:customStyle="1" w:styleId="BodyText2Char">
    <w:name w:val="Body Text 2 Char"/>
    <w:basedOn w:val="DefaultParagraphFont"/>
    <w:link w:val="BodyText2"/>
    <w:rsid w:val="00E575E0"/>
    <w:rPr>
      <w:rFonts w:ascii="Times New Roman" w:eastAsia="Times New Roman" w:hAnsi="Times New Roman" w:cs="Times New Roman"/>
      <w:sz w:val="20"/>
      <w:szCs w:val="20"/>
      <w:lang w:val="en-GB" w:eastAsia="en-US"/>
    </w:rPr>
  </w:style>
  <w:style w:type="character" w:styleId="Strong">
    <w:name w:val="Strong"/>
    <w:uiPriority w:val="22"/>
    <w:qFormat/>
    <w:rsid w:val="00E575E0"/>
    <w:rPr>
      <w:b/>
      <w:bCs/>
    </w:rPr>
  </w:style>
  <w:style w:type="paragraph" w:styleId="CommentText">
    <w:name w:val="annotation text"/>
    <w:basedOn w:val="Normal"/>
    <w:link w:val="CommentTextChar"/>
    <w:uiPriority w:val="99"/>
    <w:unhideWhenUsed/>
    <w:rsid w:val="00E575E0"/>
    <w:rPr>
      <w:rFonts w:ascii="Calibri" w:eastAsia="SimSun" w:hAnsi="Calibri"/>
      <w:sz w:val="24"/>
      <w:szCs w:val="24"/>
      <w:lang w:val="en-US"/>
    </w:rPr>
  </w:style>
  <w:style w:type="character" w:customStyle="1" w:styleId="CommentTextChar">
    <w:name w:val="Comment Text Char"/>
    <w:basedOn w:val="DefaultParagraphFont"/>
    <w:link w:val="CommentText"/>
    <w:uiPriority w:val="99"/>
    <w:rsid w:val="00E575E0"/>
    <w:rPr>
      <w:rFonts w:ascii="Calibri" w:eastAsia="SimSun" w:hAnsi="Calibri" w:cs="Times New Roman"/>
      <w:lang w:eastAsia="en-US"/>
    </w:rPr>
  </w:style>
  <w:style w:type="character" w:customStyle="1" w:styleId="apple-converted-space">
    <w:name w:val="apple-converted-space"/>
    <w:rsid w:val="00E5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Liang</dc:creator>
  <cp:keywords/>
  <dc:description/>
  <cp:lastModifiedBy>Jing Liang</cp:lastModifiedBy>
  <cp:revision>3</cp:revision>
  <dcterms:created xsi:type="dcterms:W3CDTF">2018-03-06T15:30:00Z</dcterms:created>
  <dcterms:modified xsi:type="dcterms:W3CDTF">2018-03-06T16:03:00Z</dcterms:modified>
</cp:coreProperties>
</file>