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D52" w:rsidRPr="00F32CCD" w:rsidRDefault="0090771A" w:rsidP="008541F3">
      <w:pPr>
        <w:ind w:firstLine="0"/>
        <w:rPr>
          <w:b/>
          <w:sz w:val="28"/>
          <w:szCs w:val="28"/>
          <w:lang w:val="en-GB"/>
        </w:rPr>
      </w:pPr>
      <w:r w:rsidRPr="0090771A">
        <w:rPr>
          <w:i/>
          <w:sz w:val="24"/>
          <w:szCs w:val="24"/>
          <w:lang w:val="en-GB"/>
        </w:rPr>
        <w:t>Roy Endré Dahl</w:t>
      </w:r>
      <w:r w:rsidR="00C058C3">
        <w:rPr>
          <w:i/>
          <w:sz w:val="24"/>
          <w:szCs w:val="24"/>
          <w:lang w:val="en-GB"/>
        </w:rPr>
        <w:t xml:space="preserve">, </w:t>
      </w:r>
      <w:r w:rsidR="006500C2">
        <w:rPr>
          <w:i/>
          <w:sz w:val="24"/>
          <w:szCs w:val="24"/>
          <w:lang w:val="en-GB"/>
        </w:rPr>
        <w:t xml:space="preserve">Sindre Lorentzen, </w:t>
      </w:r>
      <w:r w:rsidR="00C058C3">
        <w:rPr>
          <w:i/>
          <w:sz w:val="24"/>
          <w:szCs w:val="24"/>
          <w:lang w:val="en-GB"/>
        </w:rPr>
        <w:t>Atle Oglend</w:t>
      </w:r>
      <w:r w:rsidRPr="0090771A">
        <w:rPr>
          <w:i/>
          <w:sz w:val="24"/>
          <w:szCs w:val="24"/>
          <w:lang w:val="en-GB"/>
        </w:rPr>
        <w:t xml:space="preserve"> and Petter Osmundsen</w:t>
      </w:r>
      <w:r>
        <w:rPr>
          <w:b/>
          <w:sz w:val="28"/>
          <w:szCs w:val="28"/>
          <w:lang w:val="en-GB"/>
        </w:rPr>
        <w:br/>
      </w:r>
      <w:bookmarkStart w:id="0" w:name="_GoBack"/>
      <w:r w:rsidR="004F170D" w:rsidRPr="005C2487">
        <w:rPr>
          <w:b/>
          <w:caps/>
          <w:sz w:val="28"/>
          <w:szCs w:val="28"/>
          <w:lang w:val="en-GB"/>
        </w:rPr>
        <w:t>C</w:t>
      </w:r>
      <w:r w:rsidR="00831B60" w:rsidRPr="005C2487">
        <w:rPr>
          <w:b/>
          <w:caps/>
          <w:sz w:val="28"/>
          <w:szCs w:val="28"/>
          <w:lang w:val="en-GB"/>
        </w:rPr>
        <w:t xml:space="preserve">an </w:t>
      </w:r>
      <w:r w:rsidR="004F170D" w:rsidRPr="005C2487">
        <w:rPr>
          <w:b/>
          <w:caps/>
          <w:sz w:val="28"/>
          <w:szCs w:val="28"/>
          <w:lang w:val="en-GB"/>
        </w:rPr>
        <w:t>oil</w:t>
      </w:r>
      <w:r w:rsidR="00831B60" w:rsidRPr="005C2487">
        <w:rPr>
          <w:b/>
          <w:caps/>
          <w:sz w:val="28"/>
          <w:szCs w:val="28"/>
          <w:lang w:val="en-GB"/>
        </w:rPr>
        <w:t xml:space="preserve"> price developments explain cost overruns</w:t>
      </w:r>
      <w:r w:rsidR="004F170D" w:rsidRPr="005C2487">
        <w:rPr>
          <w:b/>
          <w:caps/>
          <w:sz w:val="28"/>
          <w:szCs w:val="28"/>
          <w:lang w:val="en-GB"/>
        </w:rPr>
        <w:t xml:space="preserve"> in petroleum projects</w:t>
      </w:r>
      <w:r w:rsidR="00831B60" w:rsidRPr="005C2487">
        <w:rPr>
          <w:b/>
          <w:caps/>
          <w:sz w:val="28"/>
          <w:szCs w:val="28"/>
          <w:lang w:val="en-GB"/>
        </w:rPr>
        <w:t>?</w:t>
      </w:r>
    </w:p>
    <w:bookmarkEnd w:id="0"/>
    <w:p w:rsidR="00927D52" w:rsidRDefault="00927D52" w:rsidP="00927D52">
      <w:pPr>
        <w:rPr>
          <w:b/>
          <w:sz w:val="24"/>
          <w:szCs w:val="24"/>
          <w:lang w:val="en-GB"/>
        </w:rPr>
      </w:pPr>
    </w:p>
    <w:p w:rsidR="00C058C3" w:rsidRDefault="00927D52" w:rsidP="008541F3">
      <w:pPr>
        <w:jc w:val="right"/>
        <w:rPr>
          <w:rStyle w:val="Hyperlink"/>
          <w:lang w:val="en-GB"/>
        </w:rPr>
      </w:pPr>
      <w:r w:rsidRPr="008541F3">
        <w:rPr>
          <w:lang w:val="en-GB"/>
        </w:rPr>
        <w:t>Roy Endr</w:t>
      </w:r>
      <w:r w:rsidR="0090771A">
        <w:rPr>
          <w:lang w:val="en-GB"/>
        </w:rPr>
        <w:t>é</w:t>
      </w:r>
      <w:r w:rsidRPr="008541F3">
        <w:rPr>
          <w:lang w:val="en-GB"/>
        </w:rPr>
        <w:t xml:space="preserve"> Dahl</w:t>
      </w:r>
      <w:r w:rsidR="0090771A">
        <w:rPr>
          <w:lang w:val="en-GB"/>
        </w:rPr>
        <w:t xml:space="preserve">, </w:t>
      </w:r>
      <w:r w:rsidR="008541F3" w:rsidRPr="008541F3">
        <w:rPr>
          <w:lang w:val="en-GB"/>
        </w:rPr>
        <w:t xml:space="preserve">University of Stavanger, </w:t>
      </w:r>
      <w:r w:rsidR="0090771A">
        <w:rPr>
          <w:lang w:val="en-GB"/>
        </w:rPr>
        <w:br/>
        <w:t>4036 Stavanger, Norway</w:t>
      </w:r>
      <w:r w:rsidR="0090771A">
        <w:rPr>
          <w:lang w:val="en-GB"/>
        </w:rPr>
        <w:br/>
        <w:t>e-mail:</w:t>
      </w:r>
      <w:r w:rsidR="008541F3" w:rsidRPr="008541F3">
        <w:rPr>
          <w:lang w:val="en-GB"/>
        </w:rPr>
        <w:t xml:space="preserve"> </w:t>
      </w:r>
      <w:hyperlink r:id="rId7" w:history="1">
        <w:r w:rsidR="008541F3" w:rsidRPr="008541F3">
          <w:rPr>
            <w:rStyle w:val="Hyperlink"/>
            <w:lang w:val="en-GB"/>
          </w:rPr>
          <w:t>roy.e.dahl@uis.no</w:t>
        </w:r>
      </w:hyperlink>
    </w:p>
    <w:p w:rsidR="00642A55" w:rsidRPr="00642A55" w:rsidRDefault="00642A55" w:rsidP="00642A55">
      <w:pPr>
        <w:jc w:val="right"/>
        <w:rPr>
          <w:rStyle w:val="Hyperlink"/>
          <w:color w:val="auto"/>
          <w:u w:val="none"/>
        </w:rPr>
      </w:pPr>
      <w:r>
        <w:rPr>
          <w:lang w:val="en-GB"/>
        </w:rPr>
        <w:t>Sindre Lorentzen</w:t>
      </w:r>
      <w:r w:rsidRPr="008541F3">
        <w:rPr>
          <w:lang w:val="en-GB"/>
        </w:rPr>
        <w:t xml:space="preserve">, University of Stavanger, </w:t>
      </w:r>
      <w:r>
        <w:rPr>
          <w:lang w:val="en-GB"/>
        </w:rPr>
        <w:br/>
        <w:t>4036 Stavanger, Norway</w:t>
      </w:r>
      <w:r>
        <w:rPr>
          <w:lang w:val="en-GB"/>
        </w:rPr>
        <w:br/>
        <w:t xml:space="preserve">e-mail: </w:t>
      </w:r>
      <w:hyperlink r:id="rId8" w:history="1">
        <w:r w:rsidRPr="008E7F06">
          <w:rPr>
            <w:rStyle w:val="Hyperlink"/>
          </w:rPr>
          <w:t>sindre.lorentzen@uis.no</w:t>
        </w:r>
      </w:hyperlink>
    </w:p>
    <w:p w:rsidR="00927D52" w:rsidRPr="00C058C3" w:rsidRDefault="00C058C3" w:rsidP="00C058C3">
      <w:pPr>
        <w:jc w:val="right"/>
        <w:rPr>
          <w:color w:val="0000FF" w:themeColor="hyperlink"/>
          <w:u w:val="single"/>
          <w:lang w:val="en-GB"/>
        </w:rPr>
      </w:pPr>
      <w:r>
        <w:rPr>
          <w:lang w:val="en-GB"/>
        </w:rPr>
        <w:t xml:space="preserve">Atle Oglend, </w:t>
      </w:r>
      <w:r w:rsidRPr="008541F3">
        <w:rPr>
          <w:lang w:val="en-GB"/>
        </w:rPr>
        <w:t xml:space="preserve">University of Stavanger, </w:t>
      </w:r>
      <w:r>
        <w:rPr>
          <w:lang w:val="en-GB"/>
        </w:rPr>
        <w:br/>
        <w:t>4036 Stavanger, Norway</w:t>
      </w:r>
      <w:r>
        <w:rPr>
          <w:lang w:val="en-GB"/>
        </w:rPr>
        <w:br/>
        <w:t>e-mail:</w:t>
      </w:r>
      <w:r w:rsidRPr="008541F3">
        <w:rPr>
          <w:lang w:val="en-GB"/>
        </w:rPr>
        <w:t xml:space="preserve"> </w:t>
      </w:r>
      <w:hyperlink r:id="rId9" w:history="1">
        <w:r w:rsidRPr="0029194C">
          <w:rPr>
            <w:rStyle w:val="Hyperlink"/>
            <w:lang w:val="en-GB"/>
          </w:rPr>
          <w:t>atle.oglend@uis.no</w:t>
        </w:r>
      </w:hyperlink>
      <w:r w:rsidR="008541F3" w:rsidRPr="008541F3">
        <w:rPr>
          <w:lang w:val="en-GB"/>
        </w:rPr>
        <w:br/>
      </w:r>
      <w:r w:rsidR="00927D52" w:rsidRPr="008541F3">
        <w:rPr>
          <w:lang w:val="en-GB"/>
        </w:rPr>
        <w:t>Petter Osmundsen</w:t>
      </w:r>
      <w:r w:rsidR="008541F3" w:rsidRPr="008541F3">
        <w:rPr>
          <w:lang w:val="en-GB"/>
        </w:rPr>
        <w:t xml:space="preserve">, University of Stavanger, </w:t>
      </w:r>
      <w:r w:rsidR="0090771A">
        <w:rPr>
          <w:lang w:val="en-GB"/>
        </w:rPr>
        <w:br/>
        <w:t>4036 Stavanger, Norway</w:t>
      </w:r>
      <w:r w:rsidR="0090771A">
        <w:rPr>
          <w:lang w:val="en-GB"/>
        </w:rPr>
        <w:br/>
        <w:t xml:space="preserve">e-mail: </w:t>
      </w:r>
      <w:hyperlink r:id="rId10" w:history="1">
        <w:r w:rsidR="008541F3" w:rsidRPr="008541F3">
          <w:rPr>
            <w:rStyle w:val="Hyperlink"/>
            <w:lang w:val="en-GB"/>
          </w:rPr>
          <w:t>petter.osmundsen@uis.no</w:t>
        </w:r>
      </w:hyperlink>
      <w:r w:rsidR="008541F3" w:rsidRPr="008541F3">
        <w:rPr>
          <w:lang w:val="en-GB"/>
        </w:rPr>
        <w:t xml:space="preserve"> </w:t>
      </w:r>
    </w:p>
    <w:p w:rsidR="00927D52" w:rsidRDefault="00927D52" w:rsidP="00927D52">
      <w:pPr>
        <w:jc w:val="center"/>
        <w:rPr>
          <w:sz w:val="24"/>
          <w:szCs w:val="24"/>
          <w:lang w:val="en-GB"/>
        </w:rPr>
      </w:pPr>
    </w:p>
    <w:p w:rsidR="00927D52" w:rsidRDefault="00927D52" w:rsidP="00927D52">
      <w:pPr>
        <w:jc w:val="center"/>
        <w:rPr>
          <w:lang w:val="en-GB"/>
        </w:rPr>
      </w:pPr>
    </w:p>
    <w:p w:rsidR="00927D52" w:rsidRDefault="00927D52" w:rsidP="00927D52">
      <w:pPr>
        <w:jc w:val="center"/>
        <w:rPr>
          <w:lang w:val="en-GB"/>
        </w:rPr>
      </w:pPr>
    </w:p>
    <w:p w:rsidR="00C058C3" w:rsidRPr="00BB4234" w:rsidRDefault="008541F3" w:rsidP="00BB4234">
      <w:pPr>
        <w:pStyle w:val="Heading2"/>
        <w:rPr>
          <w:sz w:val="24"/>
          <w:lang w:val="en-GB"/>
        </w:rPr>
      </w:pPr>
      <w:r w:rsidRPr="00C058C3">
        <w:rPr>
          <w:sz w:val="24"/>
          <w:lang w:val="en-GB"/>
        </w:rPr>
        <w:t>O</w:t>
      </w:r>
      <w:r w:rsidR="00927D52" w:rsidRPr="00C058C3">
        <w:rPr>
          <w:sz w:val="24"/>
          <w:lang w:val="en-GB"/>
        </w:rPr>
        <w:t>verview</w:t>
      </w:r>
    </w:p>
    <w:p w:rsidR="00927D52" w:rsidRPr="00BB4234" w:rsidRDefault="00C058C3" w:rsidP="00EB2749">
      <w:pPr>
        <w:ind w:firstLine="0"/>
        <w:jc w:val="both"/>
        <w:rPr>
          <w:sz w:val="24"/>
          <w:szCs w:val="24"/>
          <w:lang w:val="en-GB"/>
        </w:rPr>
      </w:pPr>
      <w:r w:rsidRPr="00C058C3">
        <w:rPr>
          <w:sz w:val="24"/>
          <w:szCs w:val="24"/>
          <w:lang w:val="en-GB"/>
        </w:rPr>
        <w:t xml:space="preserve">Development projects in the oil industry often have cost overruns. </w:t>
      </w:r>
      <w:r w:rsidR="00594255">
        <w:rPr>
          <w:sz w:val="24"/>
          <w:szCs w:val="24"/>
          <w:lang w:val="en-GB"/>
        </w:rPr>
        <w:t>A potential</w:t>
      </w:r>
      <w:r w:rsidRPr="00C058C3">
        <w:rPr>
          <w:sz w:val="24"/>
          <w:szCs w:val="24"/>
          <w:lang w:val="en-GB"/>
        </w:rPr>
        <w:t xml:space="preserve"> </w:t>
      </w:r>
      <w:r w:rsidR="00594255">
        <w:rPr>
          <w:sz w:val="24"/>
          <w:szCs w:val="24"/>
          <w:lang w:val="en-GB"/>
        </w:rPr>
        <w:t>driver of cost escalations</w:t>
      </w:r>
      <w:r w:rsidRPr="00C058C3">
        <w:rPr>
          <w:sz w:val="24"/>
          <w:szCs w:val="24"/>
          <w:lang w:val="en-GB"/>
        </w:rPr>
        <w:t xml:space="preserve"> is </w:t>
      </w:r>
      <w:r w:rsidR="00594255">
        <w:rPr>
          <w:sz w:val="24"/>
          <w:szCs w:val="24"/>
          <w:lang w:val="en-GB"/>
        </w:rPr>
        <w:t xml:space="preserve">the state of the </w:t>
      </w:r>
      <w:r w:rsidRPr="00C058C3">
        <w:rPr>
          <w:sz w:val="24"/>
          <w:szCs w:val="24"/>
          <w:lang w:val="en-GB"/>
        </w:rPr>
        <w:t xml:space="preserve">business cycle. Lack of capacity and expertise in a tight supplier market </w:t>
      </w:r>
      <w:r w:rsidR="00EB2749">
        <w:rPr>
          <w:sz w:val="24"/>
          <w:szCs w:val="24"/>
          <w:lang w:val="en-GB"/>
        </w:rPr>
        <w:t xml:space="preserve">can </w:t>
      </w:r>
      <w:r w:rsidRPr="00C058C3">
        <w:rPr>
          <w:sz w:val="24"/>
          <w:szCs w:val="24"/>
          <w:lang w:val="en-GB"/>
        </w:rPr>
        <w:t>yield cost inflation and difficulties in managing projects.</w:t>
      </w:r>
      <w:r w:rsidR="007D4EA6">
        <w:rPr>
          <w:sz w:val="24"/>
          <w:szCs w:val="24"/>
          <w:lang w:val="en-GB"/>
        </w:rPr>
        <w:t xml:space="preserve"> </w:t>
      </w:r>
      <w:r w:rsidR="004F170D">
        <w:rPr>
          <w:sz w:val="24"/>
          <w:szCs w:val="24"/>
          <w:lang w:val="en-GB"/>
        </w:rPr>
        <w:t>A p</w:t>
      </w:r>
      <w:r w:rsidR="00436A76">
        <w:rPr>
          <w:sz w:val="24"/>
          <w:szCs w:val="24"/>
          <w:lang w:val="en-GB"/>
        </w:rPr>
        <w:t>rox</w:t>
      </w:r>
      <w:r w:rsidR="004F170D">
        <w:rPr>
          <w:sz w:val="24"/>
          <w:szCs w:val="24"/>
          <w:lang w:val="en-GB"/>
        </w:rPr>
        <w:t>y</w:t>
      </w:r>
      <w:r w:rsidR="00436A76">
        <w:rPr>
          <w:sz w:val="24"/>
          <w:szCs w:val="24"/>
          <w:lang w:val="en-GB"/>
        </w:rPr>
        <w:t xml:space="preserve"> for the </w:t>
      </w:r>
      <w:r w:rsidR="009F2483">
        <w:rPr>
          <w:sz w:val="24"/>
          <w:szCs w:val="24"/>
          <w:lang w:val="en-GB"/>
        </w:rPr>
        <w:t xml:space="preserve">state of the </w:t>
      </w:r>
      <w:r w:rsidR="00436A76">
        <w:rPr>
          <w:sz w:val="24"/>
          <w:szCs w:val="24"/>
          <w:lang w:val="en-GB"/>
        </w:rPr>
        <w:t xml:space="preserve">business cycle </w:t>
      </w:r>
      <w:r w:rsidR="00594255">
        <w:rPr>
          <w:sz w:val="24"/>
          <w:szCs w:val="24"/>
          <w:lang w:val="en-GB"/>
        </w:rPr>
        <w:t xml:space="preserve">is the </w:t>
      </w:r>
      <w:r w:rsidR="00436A76">
        <w:rPr>
          <w:sz w:val="24"/>
          <w:szCs w:val="24"/>
          <w:lang w:val="en-GB"/>
        </w:rPr>
        <w:t xml:space="preserve">oil price. </w:t>
      </w:r>
      <w:r w:rsidR="00EB2749" w:rsidRPr="00C058C3">
        <w:rPr>
          <w:sz w:val="24"/>
          <w:szCs w:val="24"/>
          <w:lang w:val="en-GB"/>
        </w:rPr>
        <w:t xml:space="preserve">Through analysis of data from Norwegian </w:t>
      </w:r>
      <w:r w:rsidR="00EB2749">
        <w:rPr>
          <w:sz w:val="24"/>
          <w:szCs w:val="24"/>
          <w:lang w:val="en-GB"/>
        </w:rPr>
        <w:t xml:space="preserve">development </w:t>
      </w:r>
      <w:r w:rsidR="00EB2749" w:rsidRPr="00C058C3">
        <w:rPr>
          <w:sz w:val="24"/>
          <w:szCs w:val="24"/>
          <w:lang w:val="en-GB"/>
        </w:rPr>
        <w:t>projects</w:t>
      </w:r>
      <w:r w:rsidR="00EB2749">
        <w:rPr>
          <w:sz w:val="24"/>
          <w:szCs w:val="24"/>
          <w:lang w:val="en-GB"/>
        </w:rPr>
        <w:t xml:space="preserve"> in the petroleum industry</w:t>
      </w:r>
      <w:r w:rsidR="00EB2749" w:rsidRPr="00C058C3">
        <w:rPr>
          <w:sz w:val="24"/>
          <w:szCs w:val="24"/>
          <w:lang w:val="en-GB"/>
        </w:rPr>
        <w:t xml:space="preserve">, we </w:t>
      </w:r>
      <w:r w:rsidR="00EB2749">
        <w:rPr>
          <w:sz w:val="24"/>
          <w:szCs w:val="24"/>
          <w:lang w:val="en-GB"/>
        </w:rPr>
        <w:t xml:space="preserve">investigate the </w:t>
      </w:r>
      <w:r w:rsidR="00E44A26">
        <w:rPr>
          <w:sz w:val="24"/>
          <w:szCs w:val="24"/>
          <w:lang w:val="en-GB"/>
        </w:rPr>
        <w:t>relationship between</w:t>
      </w:r>
      <w:r w:rsidR="004F170D">
        <w:rPr>
          <w:sz w:val="24"/>
          <w:szCs w:val="24"/>
          <w:lang w:val="en-GB"/>
        </w:rPr>
        <w:t xml:space="preserve"> oil price </w:t>
      </w:r>
      <w:r w:rsidR="00E44A26">
        <w:rPr>
          <w:sz w:val="24"/>
          <w:szCs w:val="24"/>
          <w:lang w:val="en-GB"/>
        </w:rPr>
        <w:t>and</w:t>
      </w:r>
      <w:r w:rsidR="004F170D">
        <w:rPr>
          <w:sz w:val="24"/>
          <w:szCs w:val="24"/>
          <w:lang w:val="en-GB"/>
        </w:rPr>
        <w:t xml:space="preserve"> </w:t>
      </w:r>
      <w:r w:rsidR="00EB2749">
        <w:rPr>
          <w:sz w:val="24"/>
          <w:szCs w:val="24"/>
          <w:lang w:val="en-GB"/>
        </w:rPr>
        <w:t>cost overruns.</w:t>
      </w:r>
    </w:p>
    <w:p w:rsidR="0029504F" w:rsidRPr="00C058C3" w:rsidRDefault="0029504F" w:rsidP="008541F3">
      <w:pPr>
        <w:pStyle w:val="Heading2"/>
        <w:rPr>
          <w:sz w:val="24"/>
          <w:lang w:val="en-GB"/>
        </w:rPr>
      </w:pPr>
      <w:r w:rsidRPr="00C058C3">
        <w:rPr>
          <w:sz w:val="24"/>
          <w:lang w:val="en-GB"/>
        </w:rPr>
        <w:t>Methods</w:t>
      </w:r>
    </w:p>
    <w:p w:rsidR="0029504F" w:rsidRPr="00C058C3" w:rsidRDefault="0029504F" w:rsidP="00EB2749">
      <w:pPr>
        <w:ind w:firstLine="0"/>
        <w:jc w:val="both"/>
        <w:rPr>
          <w:sz w:val="24"/>
          <w:szCs w:val="24"/>
          <w:lang w:val="en-GB"/>
        </w:rPr>
      </w:pPr>
      <w:r w:rsidRPr="00C058C3">
        <w:rPr>
          <w:sz w:val="24"/>
          <w:szCs w:val="24"/>
          <w:lang w:val="en-GB"/>
        </w:rPr>
        <w:t xml:space="preserve">Unique data availability is an essential ingredient here. </w:t>
      </w:r>
      <w:r w:rsidR="00436A76">
        <w:rPr>
          <w:sz w:val="24"/>
          <w:szCs w:val="24"/>
          <w:lang w:val="en-GB"/>
        </w:rPr>
        <w:t xml:space="preserve">Oil companies operating in Norway have to report annual cost details of development projects to Norwegian authorities. </w:t>
      </w:r>
      <w:r w:rsidRPr="00C058C3">
        <w:rPr>
          <w:sz w:val="24"/>
          <w:szCs w:val="24"/>
          <w:lang w:val="en-GB"/>
        </w:rPr>
        <w:t>Existing work on oil investment on the Norwegian continental shelf relates only to exploration. It has focused on the relationship between drilling activity and such investment drivers as the oil price, recoverable resources and licensed acreage (see, for example, Mohn and Osmundsen, 2008; 2011</w:t>
      </w:r>
      <w:r w:rsidR="008959FA" w:rsidRPr="00C058C3">
        <w:rPr>
          <w:sz w:val="24"/>
          <w:szCs w:val="24"/>
          <w:lang w:val="en-GB"/>
        </w:rPr>
        <w:t xml:space="preserve"> and Mohn 2008</w:t>
      </w:r>
      <w:r w:rsidRPr="00C058C3">
        <w:rPr>
          <w:sz w:val="24"/>
          <w:szCs w:val="24"/>
          <w:lang w:val="en-GB"/>
        </w:rPr>
        <w:t>). Drilling activity is modelled in terms of an error-correction model, where investment drivers are assumed to be uninfluenced by drilling activity. Using the concept of co-integration (Engle and Granger, 1987; Hendry and Juselius, 2000), the error-correction model has the benefit of explicitly separating short-run adjustments from the long-run equilibrium relationships.</w:t>
      </w:r>
      <w:r w:rsidR="00BB4234">
        <w:rPr>
          <w:sz w:val="24"/>
          <w:szCs w:val="24"/>
          <w:lang w:val="en-GB"/>
        </w:rPr>
        <w:t xml:space="preserve"> </w:t>
      </w:r>
      <w:r w:rsidR="00436A76">
        <w:rPr>
          <w:sz w:val="24"/>
          <w:szCs w:val="24"/>
          <w:lang w:val="en-GB"/>
        </w:rPr>
        <w:t xml:space="preserve">We </w:t>
      </w:r>
      <w:r w:rsidRPr="00C058C3">
        <w:rPr>
          <w:sz w:val="24"/>
          <w:szCs w:val="24"/>
          <w:lang w:val="en-GB"/>
        </w:rPr>
        <w:t>ex</w:t>
      </w:r>
      <w:r w:rsidR="00436A76">
        <w:rPr>
          <w:sz w:val="24"/>
          <w:szCs w:val="24"/>
          <w:lang w:val="en-GB"/>
        </w:rPr>
        <w:t>tend the current literature</w:t>
      </w:r>
      <w:r w:rsidRPr="00C058C3">
        <w:rPr>
          <w:sz w:val="24"/>
          <w:szCs w:val="24"/>
          <w:lang w:val="en-GB"/>
        </w:rPr>
        <w:t xml:space="preserve"> by analysing development project</w:t>
      </w:r>
      <w:r w:rsidR="004F170D">
        <w:rPr>
          <w:sz w:val="24"/>
          <w:szCs w:val="24"/>
          <w:lang w:val="en-GB"/>
        </w:rPr>
        <w:t xml:space="preserve"> costs using panel data methods</w:t>
      </w:r>
      <w:r w:rsidRPr="00C058C3">
        <w:rPr>
          <w:sz w:val="24"/>
          <w:szCs w:val="24"/>
          <w:lang w:val="en-GB"/>
        </w:rPr>
        <w:t xml:space="preserve">. </w:t>
      </w:r>
    </w:p>
    <w:p w:rsidR="0029504F" w:rsidRPr="00C058C3" w:rsidRDefault="0029504F" w:rsidP="00927D52">
      <w:pPr>
        <w:pStyle w:val="Default"/>
        <w:rPr>
          <w:lang w:val="en-GB"/>
        </w:rPr>
      </w:pPr>
    </w:p>
    <w:p w:rsidR="00B82C46" w:rsidRDefault="00B82C46" w:rsidP="008541F3">
      <w:pPr>
        <w:ind w:firstLine="0"/>
        <w:rPr>
          <w:b/>
          <w:sz w:val="24"/>
          <w:szCs w:val="24"/>
          <w:lang w:val="en-GB"/>
        </w:rPr>
      </w:pPr>
      <w:r w:rsidRPr="00C058C3">
        <w:rPr>
          <w:b/>
          <w:sz w:val="24"/>
          <w:szCs w:val="24"/>
          <w:lang w:val="en-GB"/>
        </w:rPr>
        <w:t>Results</w:t>
      </w:r>
    </w:p>
    <w:p w:rsidR="004F170D" w:rsidRDefault="00C058C3" w:rsidP="00E4181A">
      <w:pPr>
        <w:ind w:firstLine="0"/>
        <w:jc w:val="both"/>
        <w:rPr>
          <w:sz w:val="24"/>
          <w:szCs w:val="24"/>
          <w:lang w:val="en-GB"/>
        </w:rPr>
      </w:pPr>
      <w:r w:rsidRPr="00231A18">
        <w:rPr>
          <w:sz w:val="24"/>
          <w:szCs w:val="24"/>
          <w:lang w:val="en-GB"/>
        </w:rPr>
        <w:t xml:space="preserve">A </w:t>
      </w:r>
      <w:r w:rsidR="00EB2749">
        <w:rPr>
          <w:sz w:val="24"/>
          <w:szCs w:val="24"/>
          <w:lang w:val="en-GB"/>
        </w:rPr>
        <w:t xml:space="preserve">hypothesized </w:t>
      </w:r>
      <w:r w:rsidRPr="00231A18">
        <w:rPr>
          <w:sz w:val="24"/>
          <w:szCs w:val="24"/>
          <w:lang w:val="en-GB"/>
        </w:rPr>
        <w:t>cause of cost overruns is underestimating cost increases related to business cycle</w:t>
      </w:r>
      <w:r w:rsidR="004F170D">
        <w:rPr>
          <w:sz w:val="24"/>
          <w:szCs w:val="24"/>
          <w:lang w:val="en-GB"/>
        </w:rPr>
        <w:t xml:space="preserve"> effects</w:t>
      </w:r>
      <w:r w:rsidRPr="00231A18">
        <w:rPr>
          <w:sz w:val="24"/>
          <w:szCs w:val="24"/>
          <w:lang w:val="en-GB"/>
        </w:rPr>
        <w:t>.</w:t>
      </w:r>
      <w:r w:rsidR="005556A5">
        <w:rPr>
          <w:sz w:val="24"/>
          <w:szCs w:val="24"/>
          <w:lang w:val="en-GB"/>
        </w:rPr>
        <w:t xml:space="preserve"> </w:t>
      </w:r>
      <w:r w:rsidR="004F170D">
        <w:rPr>
          <w:sz w:val="24"/>
          <w:szCs w:val="24"/>
          <w:lang w:val="en-GB"/>
        </w:rPr>
        <w:t xml:space="preserve">We test this hypothesis empirically using the oil price as a proxy for the state of the business cycle. Although this direct method cannot distinguish between the potential </w:t>
      </w:r>
      <w:r w:rsidR="00E44A26">
        <w:rPr>
          <w:sz w:val="24"/>
          <w:szCs w:val="24"/>
          <w:lang w:val="en-GB"/>
        </w:rPr>
        <w:t>multitude of</w:t>
      </w:r>
      <w:r w:rsidR="004F170D">
        <w:rPr>
          <w:sz w:val="24"/>
          <w:szCs w:val="24"/>
          <w:lang w:val="en-GB"/>
        </w:rPr>
        <w:t xml:space="preserve"> causes for a</w:t>
      </w:r>
      <w:r w:rsidR="00E44A26">
        <w:rPr>
          <w:sz w:val="24"/>
          <w:szCs w:val="24"/>
          <w:lang w:val="en-GB"/>
        </w:rPr>
        <w:t xml:space="preserve"> </w:t>
      </w:r>
      <w:r w:rsidR="004F170D">
        <w:rPr>
          <w:sz w:val="24"/>
          <w:szCs w:val="24"/>
          <w:lang w:val="en-GB"/>
        </w:rPr>
        <w:t>correlation between oil price and cost overruns, it will allow us to confirm in the positive whether any statistical relationship exists.</w:t>
      </w:r>
    </w:p>
    <w:p w:rsidR="004F170D" w:rsidRDefault="004F170D" w:rsidP="00E4181A">
      <w:pPr>
        <w:ind w:firstLine="0"/>
        <w:jc w:val="both"/>
        <w:rPr>
          <w:sz w:val="24"/>
          <w:szCs w:val="24"/>
          <w:lang w:val="en-GB"/>
        </w:rPr>
      </w:pPr>
    </w:p>
    <w:p w:rsidR="00380382" w:rsidRDefault="004F170D" w:rsidP="00E4181A">
      <w:pPr>
        <w:ind w:firstLine="0"/>
        <w:jc w:val="both"/>
        <w:rPr>
          <w:sz w:val="24"/>
          <w:szCs w:val="24"/>
          <w:lang w:val="en-GB"/>
        </w:rPr>
      </w:pPr>
      <w:r>
        <w:rPr>
          <w:sz w:val="24"/>
          <w:szCs w:val="24"/>
          <w:lang w:val="en-GB"/>
        </w:rPr>
        <w:t>T</w:t>
      </w:r>
      <w:r w:rsidR="00380382">
        <w:rPr>
          <w:sz w:val="24"/>
          <w:szCs w:val="24"/>
          <w:lang w:val="en-GB"/>
        </w:rPr>
        <w:t xml:space="preserve">able </w:t>
      </w:r>
      <w:r>
        <w:rPr>
          <w:sz w:val="24"/>
          <w:szCs w:val="24"/>
          <w:lang w:val="en-GB"/>
        </w:rPr>
        <w:t xml:space="preserve">1 </w:t>
      </w:r>
      <w:r w:rsidR="00380382">
        <w:rPr>
          <w:sz w:val="24"/>
          <w:szCs w:val="24"/>
          <w:lang w:val="en-GB"/>
        </w:rPr>
        <w:t>shows results from panel data estimat</w:t>
      </w:r>
      <w:r w:rsidR="00A7020C">
        <w:rPr>
          <w:sz w:val="24"/>
          <w:szCs w:val="24"/>
          <w:lang w:val="en-GB"/>
        </w:rPr>
        <w:t>ion</w:t>
      </w:r>
      <w:r w:rsidR="00380382">
        <w:rPr>
          <w:sz w:val="24"/>
          <w:szCs w:val="24"/>
          <w:lang w:val="en-GB"/>
        </w:rPr>
        <w:t xml:space="preserve"> on </w:t>
      </w:r>
      <w:r w:rsidR="008C7F1C">
        <w:rPr>
          <w:sz w:val="24"/>
          <w:szCs w:val="24"/>
          <w:lang w:val="en-GB"/>
        </w:rPr>
        <w:t>80</w:t>
      </w:r>
      <w:r w:rsidR="00380382">
        <w:rPr>
          <w:sz w:val="24"/>
          <w:szCs w:val="24"/>
          <w:lang w:val="en-GB"/>
        </w:rPr>
        <w:t xml:space="preserve"> investment projects from 2000 to 2013. The dependent variable is cost overruns, measured as the percentage difference between initial estimates and updated cost estimates. Independent variables are </w:t>
      </w:r>
      <w:r w:rsidR="005556A5">
        <w:rPr>
          <w:sz w:val="24"/>
          <w:szCs w:val="24"/>
          <w:lang w:val="en-GB"/>
        </w:rPr>
        <w:t>the</w:t>
      </w:r>
      <w:r w:rsidR="001023A7">
        <w:rPr>
          <w:sz w:val="24"/>
          <w:szCs w:val="24"/>
          <w:lang w:val="en-GB"/>
        </w:rPr>
        <w:t xml:space="preserve"> oil (Brent) </w:t>
      </w:r>
      <w:r w:rsidR="00E4181A">
        <w:rPr>
          <w:sz w:val="24"/>
          <w:szCs w:val="24"/>
          <w:lang w:val="en-GB"/>
        </w:rPr>
        <w:t xml:space="preserve">price and the percentage </w:t>
      </w:r>
      <w:r>
        <w:rPr>
          <w:sz w:val="24"/>
          <w:szCs w:val="24"/>
          <w:lang w:val="en-GB"/>
        </w:rPr>
        <w:t>change in</w:t>
      </w:r>
      <w:r w:rsidR="00E4181A">
        <w:rPr>
          <w:sz w:val="24"/>
          <w:szCs w:val="24"/>
          <w:lang w:val="en-GB"/>
        </w:rPr>
        <w:t xml:space="preserve"> oil price from start </w:t>
      </w:r>
      <w:r>
        <w:rPr>
          <w:sz w:val="24"/>
          <w:szCs w:val="24"/>
          <w:lang w:val="en-GB"/>
        </w:rPr>
        <w:t>to end of project development</w:t>
      </w:r>
      <w:r w:rsidR="001023A7">
        <w:rPr>
          <w:sz w:val="24"/>
          <w:szCs w:val="24"/>
          <w:lang w:val="en-GB"/>
        </w:rPr>
        <w:t xml:space="preserve">. </w:t>
      </w:r>
      <w:r w:rsidR="00E4181A">
        <w:rPr>
          <w:sz w:val="24"/>
          <w:szCs w:val="24"/>
          <w:lang w:val="en-GB"/>
        </w:rPr>
        <w:t xml:space="preserve">This is defined as oil price surprise. The </w:t>
      </w:r>
      <w:r>
        <w:rPr>
          <w:sz w:val="24"/>
          <w:szCs w:val="24"/>
          <w:lang w:val="en-GB"/>
        </w:rPr>
        <w:t xml:space="preserve">model is estimated using </w:t>
      </w:r>
      <w:r w:rsidR="00E4181A">
        <w:rPr>
          <w:sz w:val="24"/>
          <w:szCs w:val="24"/>
          <w:lang w:val="en-GB"/>
        </w:rPr>
        <w:t xml:space="preserve">random </w:t>
      </w:r>
      <w:r>
        <w:rPr>
          <w:sz w:val="24"/>
          <w:szCs w:val="24"/>
          <w:lang w:val="en-GB"/>
        </w:rPr>
        <w:t>effects</w:t>
      </w:r>
      <w:r w:rsidR="00E4181A">
        <w:rPr>
          <w:sz w:val="24"/>
          <w:szCs w:val="24"/>
          <w:lang w:val="en-GB"/>
        </w:rPr>
        <w:t xml:space="preserve"> generalize</w:t>
      </w:r>
      <w:r>
        <w:rPr>
          <w:sz w:val="24"/>
          <w:szCs w:val="24"/>
          <w:lang w:val="en-GB"/>
        </w:rPr>
        <w:t xml:space="preserve">d </w:t>
      </w:r>
      <w:r w:rsidR="00E4181A">
        <w:rPr>
          <w:sz w:val="24"/>
          <w:szCs w:val="24"/>
          <w:lang w:val="en-GB"/>
        </w:rPr>
        <w:t>least squares with robust standard errors.</w:t>
      </w:r>
    </w:p>
    <w:p w:rsidR="004F170D" w:rsidRDefault="004F170D" w:rsidP="00E4181A">
      <w:pPr>
        <w:ind w:firstLine="0"/>
        <w:jc w:val="both"/>
        <w:rPr>
          <w:sz w:val="24"/>
          <w:szCs w:val="24"/>
          <w:lang w:val="en-GB"/>
        </w:rPr>
      </w:pPr>
    </w:p>
    <w:p w:rsidR="004F170D" w:rsidRDefault="004F170D" w:rsidP="00E4181A">
      <w:pPr>
        <w:ind w:firstLine="0"/>
        <w:jc w:val="both"/>
        <w:rPr>
          <w:sz w:val="24"/>
          <w:szCs w:val="24"/>
          <w:lang w:val="en-GB"/>
        </w:rPr>
      </w:pPr>
    </w:p>
    <w:p w:rsidR="001023A7" w:rsidRDefault="001023A7" w:rsidP="00380382">
      <w:pPr>
        <w:ind w:firstLine="0"/>
        <w:rPr>
          <w:sz w:val="24"/>
          <w:szCs w:val="24"/>
          <w:lang w:val="en-GB"/>
        </w:rPr>
      </w:pPr>
    </w:p>
    <w:p w:rsidR="00E44A26" w:rsidRDefault="00E44A26" w:rsidP="00380382">
      <w:pPr>
        <w:ind w:firstLine="0"/>
        <w:rPr>
          <w:sz w:val="24"/>
          <w:szCs w:val="24"/>
          <w:lang w:val="en-GB"/>
        </w:rPr>
      </w:pPr>
    </w:p>
    <w:p w:rsidR="001023A7" w:rsidRDefault="001023A7" w:rsidP="00380382">
      <w:pPr>
        <w:ind w:firstLine="0"/>
        <w:rPr>
          <w:sz w:val="24"/>
          <w:szCs w:val="24"/>
          <w:lang w:val="en-GB"/>
        </w:rPr>
      </w:pPr>
      <w:r w:rsidRPr="001023A7">
        <w:rPr>
          <w:b/>
          <w:sz w:val="24"/>
          <w:szCs w:val="24"/>
          <w:lang w:val="en-GB"/>
        </w:rPr>
        <w:t>Table 1.</w:t>
      </w:r>
      <w:r>
        <w:rPr>
          <w:sz w:val="24"/>
          <w:szCs w:val="24"/>
          <w:lang w:val="en-GB"/>
        </w:rPr>
        <w:t xml:space="preserve"> Estimation results</w:t>
      </w:r>
      <w:r w:rsidR="009F2483">
        <w:rPr>
          <w:sz w:val="24"/>
          <w:szCs w:val="24"/>
          <w:lang w:val="en-GB"/>
        </w:rPr>
        <w:t>,</w:t>
      </w:r>
      <w:r w:rsidR="00E4181A">
        <w:rPr>
          <w:sz w:val="24"/>
          <w:szCs w:val="24"/>
          <w:lang w:val="en-GB"/>
        </w:rPr>
        <w:t xml:space="preserve"> Cost Overruns and Oil price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1"/>
        <w:gridCol w:w="2703"/>
        <w:gridCol w:w="1243"/>
        <w:gridCol w:w="407"/>
        <w:gridCol w:w="2614"/>
      </w:tblGrid>
      <w:tr w:rsidR="00E4181A" w:rsidRPr="008A1152" w:rsidTr="00E4181A">
        <w:tc>
          <w:tcPr>
            <w:tcW w:w="1385" w:type="pct"/>
            <w:tcBorders>
              <w:top w:val="single" w:sz="12" w:space="0" w:color="auto"/>
            </w:tcBorders>
          </w:tcPr>
          <w:p w:rsidR="00E4181A" w:rsidRPr="008A1152" w:rsidRDefault="00E4181A" w:rsidP="001023A7">
            <w:pPr>
              <w:ind w:firstLine="0"/>
              <w:rPr>
                <w:rFonts w:ascii="Times New Roman" w:hAnsi="Times New Roman" w:cs="Times New Roman"/>
                <w:sz w:val="20"/>
              </w:rPr>
            </w:pPr>
          </w:p>
        </w:tc>
        <w:tc>
          <w:tcPr>
            <w:tcW w:w="1402" w:type="pct"/>
            <w:tcBorders>
              <w:top w:val="single" w:sz="12" w:space="0" w:color="auto"/>
            </w:tcBorders>
          </w:tcPr>
          <w:p w:rsidR="00E4181A" w:rsidRPr="008A1152" w:rsidRDefault="00E4181A" w:rsidP="00527EA1">
            <w:pPr>
              <w:rPr>
                <w:rFonts w:ascii="Times New Roman" w:hAnsi="Times New Roman" w:cs="Times New Roman"/>
                <w:sz w:val="20"/>
              </w:rPr>
            </w:pPr>
          </w:p>
        </w:tc>
        <w:tc>
          <w:tcPr>
            <w:tcW w:w="645" w:type="pct"/>
            <w:tcBorders>
              <w:top w:val="single" w:sz="12" w:space="0" w:color="auto"/>
            </w:tcBorders>
          </w:tcPr>
          <w:p w:rsidR="00E4181A" w:rsidRPr="008A1152" w:rsidRDefault="00E4181A" w:rsidP="00527EA1">
            <w:pPr>
              <w:rPr>
                <w:rFonts w:ascii="Times New Roman" w:hAnsi="Times New Roman" w:cs="Times New Roman"/>
                <w:sz w:val="20"/>
              </w:rPr>
            </w:pPr>
          </w:p>
        </w:tc>
        <w:tc>
          <w:tcPr>
            <w:tcW w:w="211" w:type="pct"/>
            <w:tcBorders>
              <w:top w:val="single" w:sz="12" w:space="0" w:color="auto"/>
            </w:tcBorders>
          </w:tcPr>
          <w:p w:rsidR="00E4181A" w:rsidRPr="008A1152" w:rsidRDefault="00E4181A" w:rsidP="00527EA1">
            <w:pPr>
              <w:rPr>
                <w:rFonts w:ascii="Times New Roman" w:hAnsi="Times New Roman" w:cs="Times New Roman"/>
                <w:sz w:val="20"/>
              </w:rPr>
            </w:pPr>
          </w:p>
        </w:tc>
        <w:tc>
          <w:tcPr>
            <w:tcW w:w="1356" w:type="pct"/>
            <w:tcBorders>
              <w:top w:val="single" w:sz="12" w:space="0" w:color="auto"/>
            </w:tcBorders>
          </w:tcPr>
          <w:p w:rsidR="00E4181A" w:rsidRPr="008A1152" w:rsidRDefault="00E4181A" w:rsidP="00527EA1"/>
        </w:tc>
      </w:tr>
      <w:tr w:rsidR="00E4181A" w:rsidRPr="008A1152" w:rsidTr="00E4181A">
        <w:tc>
          <w:tcPr>
            <w:tcW w:w="1385" w:type="pct"/>
            <w:tcBorders>
              <w:bottom w:val="single" w:sz="8" w:space="0" w:color="auto"/>
            </w:tcBorders>
          </w:tcPr>
          <w:p w:rsidR="00E4181A" w:rsidRPr="008A1152" w:rsidRDefault="00E4181A" w:rsidP="00E4181A">
            <w:pPr>
              <w:ind w:firstLine="0"/>
              <w:jc w:val="center"/>
              <w:rPr>
                <w:rFonts w:ascii="Times New Roman" w:hAnsi="Times New Roman" w:cs="Times New Roman"/>
                <w:sz w:val="20"/>
              </w:rPr>
            </w:pPr>
            <w:r w:rsidRPr="008A1152">
              <w:rPr>
                <w:rFonts w:ascii="Times New Roman" w:hAnsi="Times New Roman" w:cs="Times New Roman"/>
                <w:sz w:val="20"/>
              </w:rPr>
              <w:t>Variable</w:t>
            </w:r>
          </w:p>
        </w:tc>
        <w:tc>
          <w:tcPr>
            <w:tcW w:w="1402" w:type="pct"/>
            <w:tcBorders>
              <w:bottom w:val="single" w:sz="8" w:space="0" w:color="auto"/>
            </w:tcBorders>
          </w:tcPr>
          <w:p w:rsidR="00E4181A" w:rsidRPr="008A1152" w:rsidRDefault="00E4181A" w:rsidP="00E4181A">
            <w:pPr>
              <w:ind w:firstLine="0"/>
              <w:jc w:val="center"/>
              <w:rPr>
                <w:rFonts w:ascii="Times New Roman" w:hAnsi="Times New Roman" w:cs="Times New Roman"/>
                <w:sz w:val="20"/>
              </w:rPr>
            </w:pPr>
            <w:r w:rsidRPr="008A1152">
              <w:rPr>
                <w:rFonts w:ascii="Times New Roman" w:hAnsi="Times New Roman" w:cs="Times New Roman"/>
                <w:sz w:val="20"/>
              </w:rPr>
              <w:t>Coefficient</w:t>
            </w:r>
          </w:p>
        </w:tc>
        <w:tc>
          <w:tcPr>
            <w:tcW w:w="645" w:type="pct"/>
            <w:tcBorders>
              <w:bottom w:val="single" w:sz="8" w:space="0" w:color="auto"/>
            </w:tcBorders>
          </w:tcPr>
          <w:p w:rsidR="00E4181A" w:rsidRPr="008A1152" w:rsidRDefault="00E4181A" w:rsidP="00E4181A">
            <w:pPr>
              <w:ind w:firstLine="0"/>
              <w:jc w:val="center"/>
              <w:rPr>
                <w:rFonts w:ascii="Times New Roman" w:hAnsi="Times New Roman" w:cs="Times New Roman"/>
                <w:sz w:val="20"/>
              </w:rPr>
            </w:pPr>
            <w:r w:rsidRPr="008A1152">
              <w:rPr>
                <w:rFonts w:ascii="Times New Roman" w:hAnsi="Times New Roman" w:cs="Times New Roman"/>
                <w:sz w:val="20"/>
              </w:rPr>
              <w:t>t-value</w:t>
            </w:r>
          </w:p>
        </w:tc>
        <w:tc>
          <w:tcPr>
            <w:tcW w:w="211" w:type="pct"/>
            <w:tcBorders>
              <w:bottom w:val="single" w:sz="8" w:space="0" w:color="auto"/>
            </w:tcBorders>
          </w:tcPr>
          <w:p w:rsidR="00E4181A" w:rsidRPr="008A1152" w:rsidRDefault="00E4181A" w:rsidP="00E4181A">
            <w:pPr>
              <w:jc w:val="center"/>
              <w:rPr>
                <w:rFonts w:ascii="Times New Roman" w:hAnsi="Times New Roman" w:cs="Times New Roman"/>
                <w:sz w:val="20"/>
              </w:rPr>
            </w:pPr>
          </w:p>
        </w:tc>
        <w:tc>
          <w:tcPr>
            <w:tcW w:w="1356" w:type="pct"/>
            <w:tcBorders>
              <w:bottom w:val="single" w:sz="8" w:space="0" w:color="auto"/>
            </w:tcBorders>
          </w:tcPr>
          <w:p w:rsidR="00E4181A" w:rsidRPr="00E4181A" w:rsidRDefault="00E4181A" w:rsidP="00E4181A">
            <w:pPr>
              <w:jc w:val="center"/>
              <w:rPr>
                <w:rFonts w:ascii="Times New Roman" w:hAnsi="Times New Roman" w:cs="Times New Roman"/>
                <w:sz w:val="20"/>
              </w:rPr>
            </w:pPr>
            <w:r w:rsidRPr="00E4181A">
              <w:rPr>
                <w:rFonts w:ascii="Times New Roman" w:hAnsi="Times New Roman" w:cs="Times New Roman"/>
                <w:sz w:val="20"/>
              </w:rPr>
              <w:t>p-value</w:t>
            </w:r>
          </w:p>
        </w:tc>
      </w:tr>
      <w:tr w:rsidR="00E4181A" w:rsidRPr="008A1152" w:rsidTr="00E4181A">
        <w:tc>
          <w:tcPr>
            <w:tcW w:w="1385" w:type="pct"/>
            <w:tcBorders>
              <w:top w:val="single" w:sz="8" w:space="0" w:color="auto"/>
            </w:tcBorders>
          </w:tcPr>
          <w:p w:rsidR="00E4181A" w:rsidRPr="008A1152" w:rsidRDefault="00E4181A" w:rsidP="001023A7">
            <w:pPr>
              <w:ind w:firstLine="0"/>
              <w:rPr>
                <w:rFonts w:ascii="Times New Roman" w:hAnsi="Times New Roman" w:cs="Times New Roman"/>
                <w:sz w:val="20"/>
              </w:rPr>
            </w:pPr>
            <w:r>
              <w:rPr>
                <w:rFonts w:ascii="Times New Roman" w:hAnsi="Times New Roman" w:cs="Times New Roman"/>
                <w:sz w:val="20"/>
              </w:rPr>
              <w:t>Intercept</w:t>
            </w:r>
          </w:p>
        </w:tc>
        <w:tc>
          <w:tcPr>
            <w:tcW w:w="1402" w:type="pct"/>
            <w:tcBorders>
              <w:top w:val="single" w:sz="8" w:space="0" w:color="auto"/>
            </w:tcBorders>
          </w:tcPr>
          <w:p w:rsidR="00E4181A" w:rsidRPr="008A1152" w:rsidRDefault="00E4181A" w:rsidP="00E4181A">
            <w:pPr>
              <w:ind w:firstLine="0"/>
              <w:jc w:val="center"/>
              <w:rPr>
                <w:rFonts w:ascii="Times New Roman" w:hAnsi="Times New Roman" w:cs="Times New Roman"/>
                <w:color w:val="000000"/>
                <w:sz w:val="20"/>
              </w:rPr>
            </w:pPr>
            <w:r w:rsidRPr="00E4181A">
              <w:rPr>
                <w:rFonts w:ascii="Times New Roman" w:hAnsi="Times New Roman" w:cs="Times New Roman"/>
                <w:color w:val="000000"/>
                <w:sz w:val="20"/>
              </w:rPr>
              <w:t>-</w:t>
            </w:r>
            <w:r>
              <w:rPr>
                <w:rFonts w:ascii="Times New Roman" w:hAnsi="Times New Roman" w:cs="Times New Roman"/>
                <w:color w:val="000000"/>
                <w:sz w:val="20"/>
              </w:rPr>
              <w:t>0</w:t>
            </w:r>
            <w:r w:rsidRPr="00E4181A">
              <w:rPr>
                <w:rFonts w:ascii="Times New Roman" w:hAnsi="Times New Roman" w:cs="Times New Roman"/>
                <w:color w:val="000000"/>
                <w:sz w:val="20"/>
              </w:rPr>
              <w:t>.0018</w:t>
            </w:r>
            <w:r>
              <w:rPr>
                <w:rFonts w:ascii="Times New Roman" w:hAnsi="Times New Roman" w:cs="Times New Roman"/>
                <w:color w:val="000000"/>
                <w:sz w:val="20"/>
              </w:rPr>
              <w:t>6</w:t>
            </w:r>
          </w:p>
        </w:tc>
        <w:tc>
          <w:tcPr>
            <w:tcW w:w="645" w:type="pct"/>
            <w:tcBorders>
              <w:top w:val="single" w:sz="8" w:space="0" w:color="auto"/>
            </w:tcBorders>
          </w:tcPr>
          <w:p w:rsidR="00E4181A" w:rsidRPr="008A1152" w:rsidRDefault="00E4181A" w:rsidP="00E4181A">
            <w:pPr>
              <w:ind w:firstLine="0"/>
              <w:jc w:val="center"/>
              <w:rPr>
                <w:rFonts w:ascii="Times New Roman" w:hAnsi="Times New Roman" w:cs="Times New Roman"/>
                <w:color w:val="000000"/>
                <w:sz w:val="20"/>
              </w:rPr>
            </w:pPr>
            <w:r w:rsidRPr="00E4181A">
              <w:rPr>
                <w:rFonts w:ascii="Times New Roman" w:hAnsi="Times New Roman" w:cs="Times New Roman"/>
                <w:color w:val="000000"/>
                <w:sz w:val="20"/>
              </w:rPr>
              <w:t>-0.04</w:t>
            </w:r>
          </w:p>
        </w:tc>
        <w:tc>
          <w:tcPr>
            <w:tcW w:w="211" w:type="pct"/>
            <w:tcBorders>
              <w:top w:val="single" w:sz="8" w:space="0" w:color="auto"/>
            </w:tcBorders>
          </w:tcPr>
          <w:p w:rsidR="00E4181A" w:rsidRPr="008A1152" w:rsidRDefault="00E4181A" w:rsidP="00E4181A">
            <w:pPr>
              <w:jc w:val="center"/>
              <w:rPr>
                <w:rFonts w:ascii="Times New Roman" w:hAnsi="Times New Roman" w:cs="Times New Roman"/>
                <w:sz w:val="20"/>
              </w:rPr>
            </w:pPr>
          </w:p>
        </w:tc>
        <w:tc>
          <w:tcPr>
            <w:tcW w:w="1356" w:type="pct"/>
            <w:tcBorders>
              <w:top w:val="single" w:sz="8" w:space="0" w:color="auto"/>
            </w:tcBorders>
          </w:tcPr>
          <w:p w:rsidR="00E4181A" w:rsidRPr="00E4181A" w:rsidRDefault="00E4181A" w:rsidP="00E4181A">
            <w:pPr>
              <w:ind w:firstLine="0"/>
              <w:jc w:val="center"/>
              <w:rPr>
                <w:rFonts w:ascii="Times New Roman" w:hAnsi="Times New Roman" w:cs="Times New Roman"/>
                <w:color w:val="000000"/>
                <w:sz w:val="20"/>
              </w:rPr>
            </w:pPr>
            <w:r w:rsidRPr="00E4181A">
              <w:rPr>
                <w:rFonts w:ascii="Times New Roman" w:hAnsi="Times New Roman" w:cs="Times New Roman"/>
                <w:color w:val="000000"/>
                <w:sz w:val="20"/>
              </w:rPr>
              <w:t>0.967</w:t>
            </w:r>
          </w:p>
        </w:tc>
      </w:tr>
      <w:tr w:rsidR="00E4181A" w:rsidRPr="008A1152" w:rsidTr="00E4181A">
        <w:trPr>
          <w:trHeight w:val="286"/>
        </w:trPr>
        <w:tc>
          <w:tcPr>
            <w:tcW w:w="1385" w:type="pct"/>
          </w:tcPr>
          <w:p w:rsidR="00E4181A" w:rsidRPr="008A1152" w:rsidRDefault="00E4181A" w:rsidP="009F2483">
            <w:pPr>
              <w:ind w:firstLine="0"/>
              <w:rPr>
                <w:rFonts w:ascii="Times New Roman" w:hAnsi="Times New Roman" w:cs="Times New Roman"/>
                <w:sz w:val="20"/>
              </w:rPr>
            </w:pPr>
            <w:r w:rsidRPr="008A1152">
              <w:rPr>
                <w:rFonts w:ascii="Times New Roman" w:hAnsi="Times New Roman" w:cs="Times New Roman"/>
                <w:sz w:val="20"/>
              </w:rPr>
              <w:t xml:space="preserve">Oil </w:t>
            </w:r>
            <w:r w:rsidR="009F2483">
              <w:rPr>
                <w:rFonts w:ascii="Times New Roman" w:hAnsi="Times New Roman" w:cs="Times New Roman"/>
                <w:sz w:val="20"/>
              </w:rPr>
              <w:t>P</w:t>
            </w:r>
            <w:r w:rsidRPr="008A1152">
              <w:rPr>
                <w:rFonts w:ascii="Times New Roman" w:hAnsi="Times New Roman" w:cs="Times New Roman"/>
                <w:sz w:val="20"/>
              </w:rPr>
              <w:t>rice</w:t>
            </w:r>
          </w:p>
        </w:tc>
        <w:tc>
          <w:tcPr>
            <w:tcW w:w="1402" w:type="pct"/>
          </w:tcPr>
          <w:p w:rsidR="00E4181A" w:rsidRPr="008A1152" w:rsidRDefault="00E4181A" w:rsidP="00E4181A">
            <w:pPr>
              <w:ind w:firstLine="0"/>
              <w:jc w:val="center"/>
              <w:rPr>
                <w:rFonts w:ascii="Times New Roman" w:hAnsi="Times New Roman" w:cs="Times New Roman"/>
                <w:sz w:val="20"/>
              </w:rPr>
            </w:pPr>
            <w:r>
              <w:rPr>
                <w:rFonts w:ascii="Times New Roman" w:hAnsi="Times New Roman" w:cs="Times New Roman"/>
                <w:sz w:val="20"/>
              </w:rPr>
              <w:t>0</w:t>
            </w:r>
            <w:r w:rsidRPr="00E4181A">
              <w:rPr>
                <w:rFonts w:ascii="Times New Roman" w:hAnsi="Times New Roman" w:cs="Times New Roman"/>
                <w:sz w:val="20"/>
              </w:rPr>
              <w:t>.00178</w:t>
            </w:r>
          </w:p>
        </w:tc>
        <w:tc>
          <w:tcPr>
            <w:tcW w:w="645" w:type="pct"/>
          </w:tcPr>
          <w:p w:rsidR="00E4181A" w:rsidRPr="008A1152" w:rsidRDefault="00E4181A" w:rsidP="00E4181A">
            <w:pPr>
              <w:ind w:firstLine="0"/>
              <w:jc w:val="center"/>
              <w:rPr>
                <w:rFonts w:ascii="Times New Roman" w:hAnsi="Times New Roman" w:cs="Times New Roman"/>
                <w:sz w:val="20"/>
              </w:rPr>
            </w:pPr>
            <w:r w:rsidRPr="00E4181A">
              <w:rPr>
                <w:rFonts w:ascii="Times New Roman" w:hAnsi="Times New Roman" w:cs="Times New Roman"/>
                <w:sz w:val="20"/>
              </w:rPr>
              <w:t>1.69</w:t>
            </w:r>
          </w:p>
        </w:tc>
        <w:tc>
          <w:tcPr>
            <w:tcW w:w="211" w:type="pct"/>
          </w:tcPr>
          <w:p w:rsidR="00E4181A" w:rsidRPr="008A1152" w:rsidRDefault="00E4181A" w:rsidP="00E4181A">
            <w:pPr>
              <w:jc w:val="center"/>
              <w:rPr>
                <w:rFonts w:ascii="Times New Roman" w:hAnsi="Times New Roman" w:cs="Times New Roman"/>
                <w:sz w:val="20"/>
              </w:rPr>
            </w:pPr>
          </w:p>
        </w:tc>
        <w:tc>
          <w:tcPr>
            <w:tcW w:w="1356" w:type="pct"/>
          </w:tcPr>
          <w:p w:rsidR="00E4181A" w:rsidRPr="00E4181A" w:rsidRDefault="00E4181A" w:rsidP="00E4181A">
            <w:pPr>
              <w:ind w:firstLine="0"/>
              <w:jc w:val="center"/>
              <w:rPr>
                <w:rFonts w:ascii="Times New Roman" w:hAnsi="Times New Roman" w:cs="Times New Roman"/>
                <w:color w:val="000000"/>
                <w:sz w:val="20"/>
              </w:rPr>
            </w:pPr>
            <w:r w:rsidRPr="00E4181A">
              <w:rPr>
                <w:rFonts w:ascii="Times New Roman" w:hAnsi="Times New Roman" w:cs="Times New Roman"/>
                <w:color w:val="000000"/>
                <w:sz w:val="20"/>
              </w:rPr>
              <w:t>0.092</w:t>
            </w:r>
          </w:p>
        </w:tc>
      </w:tr>
      <w:tr w:rsidR="00E4181A" w:rsidRPr="008A1152" w:rsidTr="00E4181A">
        <w:tc>
          <w:tcPr>
            <w:tcW w:w="1385" w:type="pct"/>
            <w:tcBorders>
              <w:bottom w:val="single" w:sz="8" w:space="0" w:color="auto"/>
            </w:tcBorders>
          </w:tcPr>
          <w:p w:rsidR="00E4181A" w:rsidRPr="008A1152" w:rsidRDefault="00E4181A" w:rsidP="001023A7">
            <w:pPr>
              <w:ind w:firstLine="0"/>
              <w:rPr>
                <w:rFonts w:ascii="Times New Roman" w:hAnsi="Times New Roman" w:cs="Times New Roman"/>
                <w:sz w:val="20"/>
              </w:rPr>
            </w:pPr>
            <w:r>
              <w:rPr>
                <w:rFonts w:ascii="Times New Roman" w:hAnsi="Times New Roman" w:cs="Times New Roman"/>
                <w:sz w:val="20"/>
              </w:rPr>
              <w:t>Oil Price Surprise</w:t>
            </w:r>
          </w:p>
        </w:tc>
        <w:tc>
          <w:tcPr>
            <w:tcW w:w="1402" w:type="pct"/>
            <w:tcBorders>
              <w:bottom w:val="single" w:sz="8" w:space="0" w:color="auto"/>
            </w:tcBorders>
          </w:tcPr>
          <w:p w:rsidR="00E4181A" w:rsidRPr="008A1152" w:rsidRDefault="00E4181A" w:rsidP="00E4181A">
            <w:pPr>
              <w:ind w:firstLine="0"/>
              <w:jc w:val="center"/>
              <w:rPr>
                <w:rFonts w:ascii="Times New Roman" w:hAnsi="Times New Roman" w:cs="Times New Roman"/>
                <w:sz w:val="20"/>
              </w:rPr>
            </w:pPr>
            <w:r>
              <w:rPr>
                <w:rFonts w:ascii="Times New Roman" w:hAnsi="Times New Roman" w:cs="Times New Roman"/>
                <w:sz w:val="20"/>
              </w:rPr>
              <w:t>0</w:t>
            </w:r>
            <w:r w:rsidRPr="00E4181A">
              <w:rPr>
                <w:rFonts w:ascii="Times New Roman" w:hAnsi="Times New Roman" w:cs="Times New Roman"/>
                <w:sz w:val="20"/>
              </w:rPr>
              <w:t>.31419</w:t>
            </w:r>
          </w:p>
        </w:tc>
        <w:tc>
          <w:tcPr>
            <w:tcW w:w="645" w:type="pct"/>
            <w:tcBorders>
              <w:bottom w:val="single" w:sz="8" w:space="0" w:color="auto"/>
            </w:tcBorders>
          </w:tcPr>
          <w:p w:rsidR="00E4181A" w:rsidRPr="008A1152" w:rsidRDefault="00E4181A" w:rsidP="00E4181A">
            <w:pPr>
              <w:ind w:firstLine="0"/>
              <w:jc w:val="center"/>
              <w:rPr>
                <w:rFonts w:ascii="Times New Roman" w:hAnsi="Times New Roman" w:cs="Times New Roman"/>
                <w:sz w:val="20"/>
              </w:rPr>
            </w:pPr>
            <w:r w:rsidRPr="00E4181A">
              <w:rPr>
                <w:rFonts w:ascii="Times New Roman" w:hAnsi="Times New Roman" w:cs="Times New Roman"/>
                <w:sz w:val="20"/>
              </w:rPr>
              <w:t>5.18</w:t>
            </w:r>
          </w:p>
        </w:tc>
        <w:tc>
          <w:tcPr>
            <w:tcW w:w="211" w:type="pct"/>
            <w:tcBorders>
              <w:bottom w:val="single" w:sz="8" w:space="0" w:color="auto"/>
            </w:tcBorders>
          </w:tcPr>
          <w:p w:rsidR="00E4181A" w:rsidRPr="008A1152" w:rsidRDefault="00E4181A" w:rsidP="00E4181A">
            <w:pPr>
              <w:jc w:val="center"/>
              <w:rPr>
                <w:rFonts w:ascii="Times New Roman" w:hAnsi="Times New Roman" w:cs="Times New Roman"/>
                <w:sz w:val="20"/>
              </w:rPr>
            </w:pPr>
          </w:p>
        </w:tc>
        <w:tc>
          <w:tcPr>
            <w:tcW w:w="1356" w:type="pct"/>
            <w:tcBorders>
              <w:bottom w:val="single" w:sz="8" w:space="0" w:color="auto"/>
            </w:tcBorders>
          </w:tcPr>
          <w:p w:rsidR="00E4181A" w:rsidRPr="00E4181A" w:rsidRDefault="00E4181A" w:rsidP="00E4181A">
            <w:pPr>
              <w:ind w:firstLine="0"/>
              <w:jc w:val="center"/>
              <w:rPr>
                <w:rFonts w:ascii="Times New Roman" w:hAnsi="Times New Roman" w:cs="Times New Roman"/>
                <w:color w:val="000000"/>
                <w:sz w:val="20"/>
              </w:rPr>
            </w:pPr>
            <w:r w:rsidRPr="00E4181A">
              <w:rPr>
                <w:rFonts w:ascii="Times New Roman" w:hAnsi="Times New Roman" w:cs="Times New Roman"/>
                <w:color w:val="000000"/>
                <w:sz w:val="20"/>
              </w:rPr>
              <w:t>0.000</w:t>
            </w:r>
          </w:p>
        </w:tc>
      </w:tr>
      <w:tr w:rsidR="00E4181A" w:rsidRPr="008A1152" w:rsidTr="00E4181A">
        <w:tc>
          <w:tcPr>
            <w:tcW w:w="1385" w:type="pct"/>
            <w:tcBorders>
              <w:top w:val="single" w:sz="8" w:space="0" w:color="auto"/>
            </w:tcBorders>
          </w:tcPr>
          <w:p w:rsidR="00E4181A" w:rsidRPr="008A1152" w:rsidRDefault="00E4181A" w:rsidP="00527EA1">
            <w:pPr>
              <w:rPr>
                <w:rFonts w:ascii="Times New Roman" w:hAnsi="Times New Roman" w:cs="Times New Roman"/>
                <w:sz w:val="20"/>
              </w:rPr>
            </w:pPr>
          </w:p>
        </w:tc>
        <w:tc>
          <w:tcPr>
            <w:tcW w:w="1402" w:type="pct"/>
            <w:tcBorders>
              <w:top w:val="single" w:sz="8" w:space="0" w:color="auto"/>
            </w:tcBorders>
          </w:tcPr>
          <w:p w:rsidR="00E4181A" w:rsidRPr="008A1152" w:rsidRDefault="00E4181A" w:rsidP="00527EA1">
            <w:pPr>
              <w:jc w:val="center"/>
              <w:rPr>
                <w:rFonts w:ascii="Times New Roman" w:hAnsi="Times New Roman" w:cs="Times New Roman"/>
                <w:sz w:val="20"/>
              </w:rPr>
            </w:pPr>
          </w:p>
        </w:tc>
        <w:tc>
          <w:tcPr>
            <w:tcW w:w="645" w:type="pct"/>
            <w:tcBorders>
              <w:top w:val="single" w:sz="8" w:space="0" w:color="auto"/>
            </w:tcBorders>
          </w:tcPr>
          <w:p w:rsidR="00E4181A" w:rsidRPr="008A1152" w:rsidRDefault="00E4181A" w:rsidP="00527EA1">
            <w:pPr>
              <w:jc w:val="center"/>
              <w:rPr>
                <w:rFonts w:ascii="Times New Roman" w:hAnsi="Times New Roman" w:cs="Times New Roman"/>
                <w:sz w:val="20"/>
              </w:rPr>
            </w:pPr>
          </w:p>
        </w:tc>
        <w:tc>
          <w:tcPr>
            <w:tcW w:w="211" w:type="pct"/>
            <w:tcBorders>
              <w:top w:val="single" w:sz="8" w:space="0" w:color="auto"/>
            </w:tcBorders>
          </w:tcPr>
          <w:p w:rsidR="00E4181A" w:rsidRPr="008A1152" w:rsidRDefault="00E4181A" w:rsidP="00527EA1">
            <w:pPr>
              <w:jc w:val="center"/>
              <w:rPr>
                <w:rFonts w:ascii="Times New Roman" w:hAnsi="Times New Roman" w:cs="Times New Roman"/>
                <w:sz w:val="20"/>
              </w:rPr>
            </w:pPr>
          </w:p>
        </w:tc>
        <w:tc>
          <w:tcPr>
            <w:tcW w:w="1356" w:type="pct"/>
            <w:tcBorders>
              <w:top w:val="single" w:sz="8" w:space="0" w:color="auto"/>
            </w:tcBorders>
          </w:tcPr>
          <w:p w:rsidR="00E4181A" w:rsidRPr="008A1152" w:rsidRDefault="00E4181A" w:rsidP="00527EA1">
            <w:pPr>
              <w:jc w:val="center"/>
            </w:pPr>
          </w:p>
        </w:tc>
      </w:tr>
      <w:tr w:rsidR="00E4181A" w:rsidRPr="008A1152" w:rsidTr="00E4181A">
        <w:tc>
          <w:tcPr>
            <w:tcW w:w="1385" w:type="pct"/>
            <w:tcBorders>
              <w:bottom w:val="single" w:sz="12" w:space="0" w:color="auto"/>
            </w:tcBorders>
          </w:tcPr>
          <w:p w:rsidR="00E4181A" w:rsidRPr="008A1152" w:rsidRDefault="00E4181A" w:rsidP="001023A7">
            <w:pPr>
              <w:ind w:firstLine="0"/>
              <w:rPr>
                <w:rFonts w:ascii="Times New Roman" w:hAnsi="Times New Roman" w:cs="Times New Roman"/>
                <w:sz w:val="20"/>
              </w:rPr>
            </w:pPr>
            <w:r w:rsidRPr="008A1152">
              <w:rPr>
                <w:rFonts w:ascii="Times New Roman" w:hAnsi="Times New Roman" w:cs="Times New Roman"/>
                <w:sz w:val="20"/>
              </w:rPr>
              <w:t>R</w:t>
            </w:r>
            <w:r w:rsidRPr="008A1152">
              <w:rPr>
                <w:rFonts w:ascii="Times New Roman" w:hAnsi="Times New Roman" w:cs="Times New Roman"/>
                <w:sz w:val="20"/>
                <w:vertAlign w:val="superscript"/>
              </w:rPr>
              <w:t>2</w:t>
            </w:r>
            <w:r>
              <w:rPr>
                <w:rFonts w:ascii="Times New Roman" w:hAnsi="Times New Roman" w:cs="Times New Roman"/>
                <w:sz w:val="20"/>
                <w:vertAlign w:val="superscript"/>
              </w:rPr>
              <w:t xml:space="preserve"> </w:t>
            </w:r>
            <w:r w:rsidRPr="008A1152">
              <w:rPr>
                <w:rFonts w:ascii="Times New Roman" w:hAnsi="Times New Roman" w:cs="Times New Roman"/>
                <w:sz w:val="20"/>
              </w:rPr>
              <w:t>(overall)</w:t>
            </w:r>
          </w:p>
        </w:tc>
        <w:tc>
          <w:tcPr>
            <w:tcW w:w="1402" w:type="pct"/>
            <w:tcBorders>
              <w:bottom w:val="single" w:sz="12" w:space="0" w:color="auto"/>
            </w:tcBorders>
          </w:tcPr>
          <w:p w:rsidR="00E4181A" w:rsidRPr="008A1152" w:rsidRDefault="00E4181A" w:rsidP="001023A7">
            <w:pPr>
              <w:rPr>
                <w:rFonts w:ascii="Times New Roman" w:hAnsi="Times New Roman" w:cs="Times New Roman"/>
                <w:sz w:val="20"/>
              </w:rPr>
            </w:pPr>
            <w:r w:rsidRPr="00E4181A">
              <w:rPr>
                <w:rFonts w:ascii="Times New Roman" w:hAnsi="Times New Roman" w:cs="Times New Roman"/>
                <w:sz w:val="20"/>
              </w:rPr>
              <w:t>0.0934</w:t>
            </w:r>
          </w:p>
        </w:tc>
        <w:tc>
          <w:tcPr>
            <w:tcW w:w="645" w:type="pct"/>
            <w:tcBorders>
              <w:bottom w:val="single" w:sz="12" w:space="0" w:color="auto"/>
            </w:tcBorders>
          </w:tcPr>
          <w:p w:rsidR="00E4181A" w:rsidRPr="008A1152" w:rsidRDefault="00E4181A" w:rsidP="00527EA1">
            <w:pPr>
              <w:jc w:val="center"/>
              <w:rPr>
                <w:rFonts w:ascii="Times New Roman" w:hAnsi="Times New Roman" w:cs="Times New Roman"/>
                <w:sz w:val="20"/>
              </w:rPr>
            </w:pPr>
          </w:p>
        </w:tc>
        <w:tc>
          <w:tcPr>
            <w:tcW w:w="211" w:type="pct"/>
            <w:tcBorders>
              <w:bottom w:val="single" w:sz="12" w:space="0" w:color="auto"/>
            </w:tcBorders>
          </w:tcPr>
          <w:p w:rsidR="00E4181A" w:rsidRPr="008A1152" w:rsidRDefault="00E4181A" w:rsidP="00527EA1">
            <w:pPr>
              <w:jc w:val="center"/>
              <w:rPr>
                <w:rFonts w:ascii="Times New Roman" w:hAnsi="Times New Roman" w:cs="Times New Roman"/>
                <w:sz w:val="20"/>
              </w:rPr>
            </w:pPr>
          </w:p>
        </w:tc>
        <w:tc>
          <w:tcPr>
            <w:tcW w:w="1356" w:type="pct"/>
            <w:tcBorders>
              <w:bottom w:val="single" w:sz="12" w:space="0" w:color="auto"/>
            </w:tcBorders>
          </w:tcPr>
          <w:p w:rsidR="00E4181A" w:rsidRPr="008A1152" w:rsidRDefault="00E4181A" w:rsidP="00527EA1">
            <w:pPr>
              <w:jc w:val="center"/>
            </w:pPr>
          </w:p>
        </w:tc>
      </w:tr>
    </w:tbl>
    <w:p w:rsidR="001023A7" w:rsidRPr="001023A7" w:rsidRDefault="001023A7" w:rsidP="00380382">
      <w:pPr>
        <w:ind w:firstLine="0"/>
        <w:rPr>
          <w:szCs w:val="24"/>
          <w:lang w:val="en-GB"/>
        </w:rPr>
      </w:pPr>
      <w:r w:rsidRPr="001023A7">
        <w:rPr>
          <w:b/>
          <w:szCs w:val="24"/>
          <w:lang w:val="en-GB"/>
        </w:rPr>
        <w:t xml:space="preserve">Note: </w:t>
      </w:r>
      <w:r>
        <w:rPr>
          <w:szCs w:val="24"/>
          <w:lang w:val="en-GB"/>
        </w:rPr>
        <w:t xml:space="preserve">Random effects estimates with robust standard errors. </w:t>
      </w:r>
    </w:p>
    <w:p w:rsidR="00E4181A" w:rsidRDefault="00E4181A" w:rsidP="00380382">
      <w:pPr>
        <w:ind w:firstLine="0"/>
        <w:rPr>
          <w:sz w:val="24"/>
          <w:szCs w:val="24"/>
          <w:lang w:val="en-GB"/>
        </w:rPr>
      </w:pPr>
    </w:p>
    <w:p w:rsidR="00665BB6" w:rsidRDefault="00FA7968" w:rsidP="00665BB6">
      <w:pPr>
        <w:ind w:firstLine="0"/>
        <w:jc w:val="both"/>
        <w:rPr>
          <w:sz w:val="24"/>
          <w:szCs w:val="24"/>
          <w:lang w:val="en-GB"/>
        </w:rPr>
      </w:pPr>
      <w:r>
        <w:rPr>
          <w:sz w:val="24"/>
          <w:szCs w:val="24"/>
          <w:lang w:val="en-GB"/>
        </w:rPr>
        <w:t>The result</w:t>
      </w:r>
      <w:r w:rsidR="00E44A26">
        <w:rPr>
          <w:sz w:val="24"/>
          <w:szCs w:val="24"/>
          <w:lang w:val="en-GB"/>
        </w:rPr>
        <w:t>s</w:t>
      </w:r>
      <w:r>
        <w:rPr>
          <w:sz w:val="24"/>
          <w:szCs w:val="24"/>
          <w:lang w:val="en-GB"/>
        </w:rPr>
        <w:t xml:space="preserve"> show a positive relationship between oil-price and cost overruns. </w:t>
      </w:r>
      <w:r w:rsidR="00665BB6">
        <w:rPr>
          <w:sz w:val="24"/>
          <w:szCs w:val="24"/>
          <w:lang w:val="en-GB"/>
        </w:rPr>
        <w:t xml:space="preserve">The magnitude of the effect depends on the initial oil price at project start. </w:t>
      </w:r>
      <w:r w:rsidR="00E44A26">
        <w:rPr>
          <w:sz w:val="24"/>
          <w:szCs w:val="24"/>
          <w:lang w:val="en-GB"/>
        </w:rPr>
        <w:t>A</w:t>
      </w:r>
      <w:r w:rsidR="00665BB6">
        <w:rPr>
          <w:sz w:val="24"/>
          <w:szCs w:val="24"/>
          <w:lang w:val="en-GB"/>
        </w:rPr>
        <w:t xml:space="preserve">t an initial price of $100/barrel, a $1 increase in </w:t>
      </w:r>
      <w:r w:rsidR="004F170D">
        <w:rPr>
          <w:sz w:val="24"/>
          <w:szCs w:val="24"/>
          <w:lang w:val="en-GB"/>
        </w:rPr>
        <w:t>price</w:t>
      </w:r>
      <w:r w:rsidR="00665BB6">
        <w:rPr>
          <w:sz w:val="24"/>
          <w:szCs w:val="24"/>
          <w:lang w:val="en-GB"/>
        </w:rPr>
        <w:t xml:space="preserve"> is associated with a 0.5 percentage point increase in cost overrun. At an initial </w:t>
      </w:r>
      <w:r w:rsidR="00576DF6">
        <w:rPr>
          <w:sz w:val="24"/>
          <w:szCs w:val="24"/>
          <w:lang w:val="en-GB"/>
        </w:rPr>
        <w:t xml:space="preserve">price of </w:t>
      </w:r>
      <w:r w:rsidR="00665BB6">
        <w:rPr>
          <w:sz w:val="24"/>
          <w:szCs w:val="24"/>
          <w:lang w:val="en-GB"/>
        </w:rPr>
        <w:t xml:space="preserve">$50/barrel, the effect is a 0.8 percentage point increase. </w:t>
      </w:r>
    </w:p>
    <w:p w:rsidR="00665BB6" w:rsidRDefault="00665BB6" w:rsidP="00380382">
      <w:pPr>
        <w:ind w:firstLine="0"/>
        <w:rPr>
          <w:sz w:val="24"/>
          <w:szCs w:val="24"/>
          <w:lang w:val="en-GB"/>
        </w:rPr>
      </w:pPr>
    </w:p>
    <w:p w:rsidR="00FA7968" w:rsidRDefault="00E44A26" w:rsidP="00665BB6">
      <w:pPr>
        <w:ind w:firstLine="0"/>
        <w:jc w:val="both"/>
        <w:rPr>
          <w:sz w:val="24"/>
          <w:szCs w:val="24"/>
          <w:lang w:val="en-GB"/>
        </w:rPr>
      </w:pPr>
      <w:r>
        <w:rPr>
          <w:sz w:val="24"/>
          <w:szCs w:val="24"/>
          <w:lang w:val="en-GB"/>
        </w:rPr>
        <w:t xml:space="preserve">In terms of significance and explanatory power, the oil price surprise is more important than the oil price level. </w:t>
      </w:r>
      <w:r w:rsidR="00665BB6">
        <w:rPr>
          <w:sz w:val="24"/>
          <w:szCs w:val="24"/>
          <w:lang w:val="en-GB"/>
        </w:rPr>
        <w:t>This suggests cost overruns depend more on the development of the oil</w:t>
      </w:r>
      <w:r w:rsidR="00576DF6">
        <w:rPr>
          <w:sz w:val="24"/>
          <w:szCs w:val="24"/>
          <w:lang w:val="en-GB"/>
        </w:rPr>
        <w:t xml:space="preserve"> </w:t>
      </w:r>
      <w:r w:rsidR="00665BB6">
        <w:rPr>
          <w:sz w:val="24"/>
          <w:szCs w:val="24"/>
          <w:lang w:val="en-GB"/>
        </w:rPr>
        <w:t>price</w:t>
      </w:r>
      <w:r w:rsidR="00576DF6">
        <w:rPr>
          <w:sz w:val="24"/>
          <w:szCs w:val="24"/>
          <w:lang w:val="en-GB"/>
        </w:rPr>
        <w:t>s</w:t>
      </w:r>
      <w:r w:rsidR="00665BB6">
        <w:rPr>
          <w:sz w:val="24"/>
          <w:szCs w:val="24"/>
          <w:lang w:val="en-GB"/>
        </w:rPr>
        <w:t xml:space="preserve"> during the project </w:t>
      </w:r>
      <w:r w:rsidR="00576DF6">
        <w:rPr>
          <w:sz w:val="24"/>
          <w:szCs w:val="24"/>
          <w:lang w:val="en-GB"/>
        </w:rPr>
        <w:t>development</w:t>
      </w:r>
      <w:r w:rsidR="00665BB6">
        <w:rPr>
          <w:sz w:val="24"/>
          <w:szCs w:val="24"/>
          <w:lang w:val="en-GB"/>
        </w:rPr>
        <w:t xml:space="preserve"> than the given oil price any year of </w:t>
      </w:r>
      <w:r w:rsidR="00576DF6">
        <w:rPr>
          <w:sz w:val="24"/>
          <w:szCs w:val="24"/>
          <w:lang w:val="en-GB"/>
        </w:rPr>
        <w:t>implementation</w:t>
      </w:r>
      <w:r w:rsidR="00665BB6">
        <w:rPr>
          <w:sz w:val="24"/>
          <w:szCs w:val="24"/>
          <w:lang w:val="en-GB"/>
        </w:rPr>
        <w:t>. This is consiste</w:t>
      </w:r>
      <w:r w:rsidR="00576DF6">
        <w:rPr>
          <w:sz w:val="24"/>
          <w:szCs w:val="24"/>
          <w:lang w:val="en-GB"/>
        </w:rPr>
        <w:t>nt with adjustments in prices of</w:t>
      </w:r>
      <w:r w:rsidR="00665BB6">
        <w:rPr>
          <w:sz w:val="24"/>
          <w:szCs w:val="24"/>
          <w:lang w:val="en-GB"/>
        </w:rPr>
        <w:t xml:space="preserve"> services due to oil price developments</w:t>
      </w:r>
      <w:r w:rsidR="009F2483">
        <w:rPr>
          <w:sz w:val="24"/>
          <w:szCs w:val="24"/>
          <w:lang w:val="en-GB"/>
        </w:rPr>
        <w:t xml:space="preserve"> </w:t>
      </w:r>
      <w:r>
        <w:rPr>
          <w:sz w:val="24"/>
          <w:szCs w:val="24"/>
          <w:lang w:val="en-GB"/>
        </w:rPr>
        <w:t xml:space="preserve">from </w:t>
      </w:r>
      <w:r w:rsidR="009F2483">
        <w:rPr>
          <w:sz w:val="24"/>
          <w:szCs w:val="24"/>
          <w:lang w:val="en-GB"/>
        </w:rPr>
        <w:t>initial levels</w:t>
      </w:r>
      <w:r w:rsidR="00665BB6">
        <w:rPr>
          <w:sz w:val="24"/>
          <w:szCs w:val="24"/>
          <w:lang w:val="en-GB"/>
        </w:rPr>
        <w:t xml:space="preserve">. </w:t>
      </w:r>
    </w:p>
    <w:p w:rsidR="00E4181A" w:rsidRDefault="00E4181A" w:rsidP="00380382">
      <w:pPr>
        <w:ind w:firstLine="0"/>
        <w:rPr>
          <w:sz w:val="24"/>
          <w:szCs w:val="24"/>
          <w:lang w:val="en-GB"/>
        </w:rPr>
      </w:pPr>
    </w:p>
    <w:p w:rsidR="00DA402D" w:rsidRPr="00665BB6" w:rsidRDefault="00DB7123" w:rsidP="00594255">
      <w:pPr>
        <w:ind w:firstLine="0"/>
        <w:jc w:val="both"/>
        <w:rPr>
          <w:sz w:val="24"/>
          <w:szCs w:val="24"/>
          <w:lang w:val="en-GB"/>
        </w:rPr>
      </w:pPr>
      <w:r>
        <w:rPr>
          <w:sz w:val="24"/>
          <w:szCs w:val="24"/>
          <w:lang w:val="en-GB"/>
        </w:rPr>
        <w:t>Somewhat surprising, t</w:t>
      </w:r>
      <w:r w:rsidR="00665BB6" w:rsidRPr="00665BB6">
        <w:rPr>
          <w:sz w:val="24"/>
          <w:szCs w:val="24"/>
          <w:lang w:val="en-GB"/>
        </w:rPr>
        <w:t>he expl</w:t>
      </w:r>
      <w:r w:rsidR="00665BB6">
        <w:rPr>
          <w:sz w:val="24"/>
          <w:szCs w:val="24"/>
          <w:lang w:val="en-GB"/>
        </w:rPr>
        <w:t xml:space="preserve">anatory power of the </w:t>
      </w:r>
      <w:r w:rsidR="00E44A26">
        <w:rPr>
          <w:sz w:val="24"/>
          <w:szCs w:val="24"/>
          <w:lang w:val="en-GB"/>
        </w:rPr>
        <w:t>oil price</w:t>
      </w:r>
      <w:r w:rsidR="00665BB6">
        <w:rPr>
          <w:sz w:val="24"/>
          <w:szCs w:val="24"/>
          <w:lang w:val="en-GB"/>
        </w:rPr>
        <w:t xml:space="preserve"> </w:t>
      </w:r>
      <w:r>
        <w:rPr>
          <w:sz w:val="24"/>
          <w:szCs w:val="24"/>
          <w:lang w:val="en-GB"/>
        </w:rPr>
        <w:t>appears</w:t>
      </w:r>
      <w:r w:rsidR="00665BB6">
        <w:rPr>
          <w:sz w:val="24"/>
          <w:szCs w:val="24"/>
          <w:lang w:val="en-GB"/>
        </w:rPr>
        <w:t xml:space="preserve"> weak (R</w:t>
      </w:r>
      <w:r w:rsidR="00665BB6">
        <w:rPr>
          <w:sz w:val="24"/>
          <w:szCs w:val="24"/>
          <w:vertAlign w:val="superscript"/>
          <w:lang w:val="en-GB"/>
        </w:rPr>
        <w:t xml:space="preserve">2 </w:t>
      </w:r>
      <w:r w:rsidR="00665BB6">
        <w:rPr>
          <w:sz w:val="24"/>
          <w:szCs w:val="24"/>
          <w:lang w:val="en-GB"/>
        </w:rPr>
        <w:t xml:space="preserve">of 0.0934). In addition, although </w:t>
      </w:r>
      <w:r w:rsidR="00594255">
        <w:rPr>
          <w:sz w:val="24"/>
          <w:szCs w:val="24"/>
          <w:lang w:val="en-GB"/>
        </w:rPr>
        <w:t>there is</w:t>
      </w:r>
      <w:r w:rsidR="009F2483">
        <w:rPr>
          <w:sz w:val="24"/>
          <w:szCs w:val="24"/>
          <w:lang w:val="en-GB"/>
        </w:rPr>
        <w:t xml:space="preserve"> a</w:t>
      </w:r>
      <w:r w:rsidR="00594255">
        <w:rPr>
          <w:sz w:val="24"/>
          <w:szCs w:val="24"/>
          <w:lang w:val="en-GB"/>
        </w:rPr>
        <w:t xml:space="preserve"> positive correlation</w:t>
      </w:r>
      <w:r w:rsidR="00665BB6">
        <w:rPr>
          <w:sz w:val="24"/>
          <w:szCs w:val="24"/>
          <w:lang w:val="en-GB"/>
        </w:rPr>
        <w:t xml:space="preserve">, this </w:t>
      </w:r>
      <w:r w:rsidR="00594255">
        <w:rPr>
          <w:sz w:val="24"/>
          <w:szCs w:val="24"/>
          <w:lang w:val="en-GB"/>
        </w:rPr>
        <w:t xml:space="preserve">still </w:t>
      </w:r>
      <w:r w:rsidR="00665BB6">
        <w:rPr>
          <w:sz w:val="24"/>
          <w:szCs w:val="24"/>
          <w:lang w:val="en-GB"/>
        </w:rPr>
        <w:t xml:space="preserve">leaves unexplained the channels by </w:t>
      </w:r>
      <w:r w:rsidR="00C860BE">
        <w:rPr>
          <w:sz w:val="24"/>
          <w:szCs w:val="24"/>
          <w:lang w:val="en-GB"/>
        </w:rPr>
        <w:t xml:space="preserve">price influences cost overruns, including its role in </w:t>
      </w:r>
      <w:r w:rsidR="009F2483">
        <w:rPr>
          <w:sz w:val="24"/>
          <w:szCs w:val="24"/>
          <w:lang w:val="en-GB"/>
        </w:rPr>
        <w:t>association with</w:t>
      </w:r>
      <w:r w:rsidR="00594255">
        <w:rPr>
          <w:sz w:val="24"/>
          <w:szCs w:val="24"/>
          <w:lang w:val="en-GB"/>
        </w:rPr>
        <w:t xml:space="preserve"> </w:t>
      </w:r>
      <w:r w:rsidR="00C860BE">
        <w:rPr>
          <w:sz w:val="24"/>
          <w:szCs w:val="24"/>
          <w:lang w:val="en-GB"/>
        </w:rPr>
        <w:t xml:space="preserve">heterogeneous </w:t>
      </w:r>
      <w:r w:rsidR="00594255">
        <w:rPr>
          <w:sz w:val="24"/>
          <w:szCs w:val="24"/>
          <w:lang w:val="en-GB"/>
        </w:rPr>
        <w:t xml:space="preserve">project </w:t>
      </w:r>
      <w:r w:rsidR="00C860BE">
        <w:rPr>
          <w:sz w:val="24"/>
          <w:szCs w:val="24"/>
          <w:lang w:val="en-GB"/>
        </w:rPr>
        <w:t xml:space="preserve">characteristics such as ocean </w:t>
      </w:r>
      <w:r w:rsidR="00594255">
        <w:rPr>
          <w:sz w:val="24"/>
          <w:szCs w:val="24"/>
          <w:lang w:val="en-GB"/>
        </w:rPr>
        <w:t>and</w:t>
      </w:r>
      <w:r w:rsidR="00C860BE">
        <w:rPr>
          <w:sz w:val="24"/>
          <w:szCs w:val="24"/>
          <w:lang w:val="en-GB"/>
        </w:rPr>
        <w:t xml:space="preserve"> drilling depth, reservoir volume and operator characteristics. </w:t>
      </w:r>
      <w:r w:rsidR="009F2483">
        <w:rPr>
          <w:sz w:val="24"/>
          <w:szCs w:val="24"/>
          <w:lang w:val="en-GB"/>
        </w:rPr>
        <w:t>Furthermore, i</w:t>
      </w:r>
      <w:r w:rsidR="00C860BE">
        <w:rPr>
          <w:sz w:val="24"/>
          <w:szCs w:val="24"/>
          <w:lang w:val="en-GB"/>
        </w:rPr>
        <w:t xml:space="preserve">dentifying the </w:t>
      </w:r>
      <w:r w:rsidR="00594255">
        <w:rPr>
          <w:sz w:val="24"/>
          <w:szCs w:val="24"/>
          <w:lang w:val="en-GB"/>
        </w:rPr>
        <w:t>precise role of the</w:t>
      </w:r>
      <w:r w:rsidR="00C860BE">
        <w:rPr>
          <w:sz w:val="24"/>
          <w:szCs w:val="24"/>
          <w:lang w:val="en-GB"/>
        </w:rPr>
        <w:t xml:space="preserve"> business cycle is</w:t>
      </w:r>
      <w:r w:rsidR="00594255">
        <w:rPr>
          <w:sz w:val="24"/>
          <w:szCs w:val="24"/>
          <w:lang w:val="en-GB"/>
        </w:rPr>
        <w:t xml:space="preserve"> </w:t>
      </w:r>
      <w:r w:rsidR="009F2483">
        <w:rPr>
          <w:sz w:val="24"/>
          <w:szCs w:val="24"/>
          <w:lang w:val="en-GB"/>
        </w:rPr>
        <w:t>c</w:t>
      </w:r>
      <w:r w:rsidR="00C860BE">
        <w:rPr>
          <w:sz w:val="24"/>
          <w:szCs w:val="24"/>
          <w:lang w:val="en-GB"/>
        </w:rPr>
        <w:t>omplicated by the high correlation between oil price and other economic variables relevant to investments costs</w:t>
      </w:r>
      <w:r w:rsidR="00594255">
        <w:rPr>
          <w:sz w:val="24"/>
          <w:szCs w:val="24"/>
          <w:lang w:val="en-GB"/>
        </w:rPr>
        <w:t>,</w:t>
      </w:r>
      <w:r w:rsidR="00C860BE">
        <w:rPr>
          <w:sz w:val="24"/>
          <w:szCs w:val="24"/>
          <w:lang w:val="en-GB"/>
        </w:rPr>
        <w:t xml:space="preserve"> such as rig rates and number of and wages for employees in the sector.   </w:t>
      </w:r>
    </w:p>
    <w:p w:rsidR="00B82C46" w:rsidRPr="00C058C3" w:rsidRDefault="00B82C46" w:rsidP="008541F3">
      <w:pPr>
        <w:pStyle w:val="Heading2"/>
        <w:rPr>
          <w:sz w:val="24"/>
          <w:lang w:val="en-GB"/>
        </w:rPr>
      </w:pPr>
      <w:r w:rsidRPr="00C058C3">
        <w:rPr>
          <w:sz w:val="24"/>
          <w:lang w:val="en-GB"/>
        </w:rPr>
        <w:t>Conclusions</w:t>
      </w:r>
    </w:p>
    <w:p w:rsidR="00E44A26" w:rsidRDefault="00594255" w:rsidP="009F2483">
      <w:pPr>
        <w:pStyle w:val="Default"/>
        <w:jc w:val="both"/>
        <w:rPr>
          <w:lang w:val="en-GB"/>
        </w:rPr>
      </w:pPr>
      <w:r>
        <w:rPr>
          <w:lang w:val="en-GB"/>
        </w:rPr>
        <w:t xml:space="preserve">Identifying causes for cost overruns is challenging. </w:t>
      </w:r>
      <w:r w:rsidR="009F2483">
        <w:rPr>
          <w:lang w:val="en-GB"/>
        </w:rPr>
        <w:t>However, i</w:t>
      </w:r>
      <w:r>
        <w:rPr>
          <w:lang w:val="en-GB"/>
        </w:rPr>
        <w:t xml:space="preserve">f </w:t>
      </w:r>
      <w:r w:rsidR="009F2483">
        <w:rPr>
          <w:lang w:val="en-GB"/>
        </w:rPr>
        <w:t>reliable</w:t>
      </w:r>
      <w:r>
        <w:rPr>
          <w:lang w:val="en-GB"/>
        </w:rPr>
        <w:t xml:space="preserve"> causes can be found, this will </w:t>
      </w:r>
      <w:r w:rsidR="007919BC" w:rsidRPr="00C058C3">
        <w:rPr>
          <w:lang w:val="en-GB"/>
        </w:rPr>
        <w:t xml:space="preserve">enable oil companies and governments to establish </w:t>
      </w:r>
      <w:r w:rsidR="009F2483">
        <w:rPr>
          <w:lang w:val="en-GB"/>
        </w:rPr>
        <w:t xml:space="preserve">more </w:t>
      </w:r>
      <w:r w:rsidR="007919BC" w:rsidRPr="00C058C3">
        <w:rPr>
          <w:lang w:val="en-GB"/>
        </w:rPr>
        <w:t xml:space="preserve">consistent plans </w:t>
      </w:r>
      <w:r w:rsidR="00E44A26">
        <w:rPr>
          <w:lang w:val="en-GB"/>
        </w:rPr>
        <w:t xml:space="preserve">that </w:t>
      </w:r>
      <w:r w:rsidR="00DB7123">
        <w:rPr>
          <w:lang w:val="en-GB"/>
        </w:rPr>
        <w:t xml:space="preserve">can </w:t>
      </w:r>
      <w:r w:rsidR="00E44A26">
        <w:rPr>
          <w:lang w:val="en-GB"/>
        </w:rPr>
        <w:t xml:space="preserve">account for </w:t>
      </w:r>
      <w:r>
        <w:rPr>
          <w:lang w:val="en-GB"/>
        </w:rPr>
        <w:t>known drivers of cost escalations. We investigated the role of the oil price a</w:t>
      </w:r>
      <w:r w:rsidR="009F2483">
        <w:rPr>
          <w:lang w:val="en-GB"/>
        </w:rPr>
        <w:t>nd cost overruns</w:t>
      </w:r>
      <w:r>
        <w:rPr>
          <w:lang w:val="en-GB"/>
        </w:rPr>
        <w:t xml:space="preserve"> in petroleum investments on the Norwegian continental shelf. </w:t>
      </w:r>
      <w:r w:rsidR="00E44A26">
        <w:rPr>
          <w:lang w:val="en-GB"/>
        </w:rPr>
        <w:t>As was expected, w</w:t>
      </w:r>
      <w:r>
        <w:rPr>
          <w:lang w:val="en-GB"/>
        </w:rPr>
        <w:t>e find a positive relationship between oil price and cost overruns</w:t>
      </w:r>
      <w:r w:rsidR="00E44A26">
        <w:rPr>
          <w:lang w:val="en-GB"/>
        </w:rPr>
        <w:t xml:space="preserve">. However, </w:t>
      </w:r>
      <w:r w:rsidR="0045252E">
        <w:rPr>
          <w:lang w:val="en-GB"/>
        </w:rPr>
        <w:t xml:space="preserve">less expected, </w:t>
      </w:r>
      <w:r w:rsidR="00E44A26">
        <w:rPr>
          <w:lang w:val="en-GB"/>
        </w:rPr>
        <w:t>the price does not have substantial explanatory power. More research is needed before we can exclude oil price as a major driver for cost escalations.</w:t>
      </w:r>
    </w:p>
    <w:p w:rsidR="00E44A26" w:rsidRDefault="00E44A26" w:rsidP="00927D52">
      <w:pPr>
        <w:pStyle w:val="Default"/>
        <w:rPr>
          <w:b/>
          <w:lang w:val="en-GB"/>
        </w:rPr>
      </w:pPr>
    </w:p>
    <w:p w:rsidR="008959FA" w:rsidRPr="00BB4234" w:rsidRDefault="008959FA" w:rsidP="00927D52">
      <w:pPr>
        <w:pStyle w:val="Default"/>
        <w:rPr>
          <w:b/>
          <w:lang w:val="en-GB"/>
        </w:rPr>
      </w:pPr>
      <w:r w:rsidRPr="00B82C46">
        <w:rPr>
          <w:b/>
          <w:lang w:val="en-GB"/>
        </w:rPr>
        <w:t>References</w:t>
      </w:r>
    </w:p>
    <w:p w:rsidR="00B82C46" w:rsidRDefault="00B82C46" w:rsidP="00B82C46">
      <w:pPr>
        <w:ind w:firstLine="0"/>
        <w:jc w:val="both"/>
        <w:rPr>
          <w:rStyle w:val="skypepnhleftspan"/>
          <w:lang w:val="en-GB"/>
        </w:rPr>
      </w:pPr>
      <w:r w:rsidRPr="00F916C1">
        <w:rPr>
          <w:rStyle w:val="volume"/>
          <w:lang w:val="en-GB"/>
        </w:rPr>
        <w:t xml:space="preserve">Engle, R. F. and Granger, C.W.J. (1987), “Cointegration and error-correction: representation, estimation and testing “, </w:t>
      </w:r>
      <w:r w:rsidRPr="00F916C1">
        <w:rPr>
          <w:rStyle w:val="volume"/>
          <w:i/>
          <w:lang w:val="en-GB"/>
        </w:rPr>
        <w:t>Econometrica</w:t>
      </w:r>
      <w:r w:rsidRPr="00F916C1">
        <w:rPr>
          <w:rStyle w:val="volume"/>
          <w:lang w:val="en-GB"/>
        </w:rPr>
        <w:t xml:space="preserve"> 55, 251-76.</w:t>
      </w:r>
      <w:r w:rsidRPr="00F916C1">
        <w:rPr>
          <w:rStyle w:val="skypepnhmark"/>
          <w:lang w:val="en-GB"/>
          <w:specVanish w:val="0"/>
        </w:rPr>
        <w:t xml:space="preserve"> begin_of_the_skype_highlighting</w:t>
      </w:r>
      <w:r w:rsidRPr="00F916C1">
        <w:rPr>
          <w:rStyle w:val="skypepnhcontainer"/>
          <w:lang w:val="en-GB"/>
        </w:rPr>
        <w:t> </w:t>
      </w:r>
      <w:r w:rsidRPr="00F916C1">
        <w:rPr>
          <w:rStyle w:val="skypepnhleftspan"/>
          <w:lang w:val="en-GB"/>
        </w:rPr>
        <w:t> </w:t>
      </w:r>
    </w:p>
    <w:p w:rsidR="00B82C46" w:rsidRDefault="00B82C46" w:rsidP="00B82C46">
      <w:pPr>
        <w:ind w:firstLine="0"/>
        <w:jc w:val="both"/>
        <w:rPr>
          <w:rStyle w:val="skypepnhleftspan"/>
          <w:lang w:val="en-GB"/>
        </w:rPr>
      </w:pPr>
      <w:r w:rsidRPr="00F916C1">
        <w:rPr>
          <w:rStyle w:val="skypepnhleftspan"/>
          <w:lang w:val="en-GB"/>
        </w:rPr>
        <w:t xml:space="preserve">Hendry, D.F. and Juselius, K. (2000), “Explaining cointegration analysis: part 1”, </w:t>
      </w:r>
      <w:r w:rsidRPr="00F916C1">
        <w:rPr>
          <w:rStyle w:val="skypepnhleftspan"/>
          <w:i/>
          <w:lang w:val="en-GB"/>
        </w:rPr>
        <w:t>The Energy Journal</w:t>
      </w:r>
      <w:r w:rsidRPr="00F916C1">
        <w:rPr>
          <w:rStyle w:val="skypepnhleftspan"/>
          <w:lang w:val="en-GB"/>
        </w:rPr>
        <w:t xml:space="preserve">, 21, 1-42. </w:t>
      </w:r>
    </w:p>
    <w:p w:rsidR="008959FA" w:rsidRDefault="008959FA" w:rsidP="008959FA">
      <w:pPr>
        <w:ind w:firstLine="0"/>
        <w:jc w:val="both"/>
        <w:rPr>
          <w:bCs/>
        </w:rPr>
      </w:pPr>
      <w:r w:rsidRPr="00145850">
        <w:rPr>
          <w:rStyle w:val="skypepnhleftspan"/>
          <w:lang w:val="en-GB"/>
        </w:rPr>
        <w:t>Mohn, K (2008), “</w:t>
      </w:r>
      <w:r w:rsidRPr="00145850">
        <w:rPr>
          <w:bCs/>
          <w:lang w:val="en-US"/>
        </w:rPr>
        <w:t>Efforts and Efficiency in Oil Exploration: A Vector Error-Correction Approach</w:t>
      </w:r>
      <w:r w:rsidRPr="00145850">
        <w:rPr>
          <w:bCs/>
        </w:rPr>
        <w:t xml:space="preserve">”, </w:t>
      </w:r>
      <w:r w:rsidRPr="00145850">
        <w:rPr>
          <w:bCs/>
          <w:i/>
        </w:rPr>
        <w:t>Energy Journal</w:t>
      </w:r>
      <w:r w:rsidRPr="00145850">
        <w:rPr>
          <w:bCs/>
        </w:rPr>
        <w:t xml:space="preserve"> 29, 4, 53-78.</w:t>
      </w:r>
    </w:p>
    <w:p w:rsidR="00B82C46" w:rsidRPr="00F916C1" w:rsidRDefault="00B82C46" w:rsidP="00B82C46">
      <w:pPr>
        <w:ind w:firstLine="0"/>
        <w:jc w:val="both"/>
        <w:rPr>
          <w:rStyle w:val="skypepnhleftspan"/>
          <w:lang w:val="en-GB"/>
        </w:rPr>
      </w:pPr>
      <w:r w:rsidRPr="00F916C1">
        <w:rPr>
          <w:lang w:val="en-GB"/>
        </w:rPr>
        <w:t xml:space="preserve">Mohn, K. and P. Osmundsen (2011), ”Asymmetry and uncertainty in capital formation: an application to oil investment”,  </w:t>
      </w:r>
      <w:r w:rsidRPr="00F916C1">
        <w:rPr>
          <w:i/>
          <w:lang w:val="en-GB"/>
        </w:rPr>
        <w:t>Applied Economics,</w:t>
      </w:r>
      <w:r w:rsidRPr="00F916C1">
        <w:rPr>
          <w:lang w:val="en-GB"/>
        </w:rPr>
        <w:t xml:space="preserve"> </w:t>
      </w:r>
      <w:r w:rsidRPr="00F916C1">
        <w:rPr>
          <w:rStyle w:val="volume"/>
          <w:lang w:val="en-GB"/>
        </w:rPr>
        <w:t xml:space="preserve">Volume 43, Issue 28, November 2011, pages </w:t>
      </w:r>
      <w:r w:rsidRPr="00F916C1">
        <w:rPr>
          <w:rStyle w:val="skypepnhprintcontainer"/>
          <w:lang w:val="en-GB"/>
        </w:rPr>
        <w:t>4387-4401.</w:t>
      </w:r>
      <w:r w:rsidRPr="00F916C1">
        <w:rPr>
          <w:rStyle w:val="skypepnhmark"/>
          <w:lang w:val="en-GB"/>
          <w:specVanish w:val="0"/>
        </w:rPr>
        <w:t xml:space="preserve"> begin_of_the_skype_highlighting</w:t>
      </w:r>
      <w:r w:rsidRPr="00F916C1">
        <w:rPr>
          <w:rStyle w:val="skypepnhcontainer"/>
          <w:lang w:val="en-GB"/>
        </w:rPr>
        <w:t> </w:t>
      </w:r>
      <w:r w:rsidRPr="00F916C1">
        <w:rPr>
          <w:rStyle w:val="skypepnhleftspan"/>
          <w:lang w:val="en-GB"/>
        </w:rPr>
        <w:t> </w:t>
      </w:r>
    </w:p>
    <w:p w:rsidR="00B82C46" w:rsidRDefault="00B82C46" w:rsidP="00B82C46">
      <w:pPr>
        <w:ind w:firstLine="0"/>
        <w:jc w:val="both"/>
        <w:rPr>
          <w:rStyle w:val="volume"/>
          <w:lang w:val="en-GB"/>
        </w:rPr>
      </w:pPr>
      <w:r w:rsidRPr="00F916C1">
        <w:rPr>
          <w:lang w:val="en-GB"/>
        </w:rPr>
        <w:t xml:space="preserve">Mohn, K. and P. Osmundsen (2008), ”Exploration economics in a regulated petroleum province: The case of the Norwegian continental shelf”,  </w:t>
      </w:r>
      <w:r w:rsidRPr="00F916C1">
        <w:rPr>
          <w:i/>
          <w:lang w:val="en-GB"/>
        </w:rPr>
        <w:t>Energy</w:t>
      </w:r>
      <w:r w:rsidRPr="00F916C1">
        <w:rPr>
          <w:lang w:val="en-GB"/>
        </w:rPr>
        <w:t xml:space="preserve"> </w:t>
      </w:r>
      <w:r w:rsidRPr="00F916C1">
        <w:rPr>
          <w:i/>
          <w:lang w:val="en-GB"/>
        </w:rPr>
        <w:t>Economics</w:t>
      </w:r>
      <w:r w:rsidRPr="00F916C1">
        <w:rPr>
          <w:lang w:val="en-GB"/>
        </w:rPr>
        <w:t xml:space="preserve"> 3</w:t>
      </w:r>
      <w:r w:rsidRPr="00F916C1">
        <w:rPr>
          <w:rStyle w:val="volume"/>
          <w:lang w:val="en-GB"/>
        </w:rPr>
        <w:t>0, 303-320.</w:t>
      </w:r>
    </w:p>
    <w:p w:rsidR="008959FA" w:rsidRPr="006E01E7" w:rsidRDefault="00B82C46" w:rsidP="006E01E7">
      <w:pPr>
        <w:ind w:firstLine="0"/>
        <w:jc w:val="both"/>
        <w:rPr>
          <w:b/>
          <w:position w:val="6"/>
          <w:lang w:val="en-GB"/>
        </w:rPr>
      </w:pPr>
      <w:r w:rsidRPr="00F916C1">
        <w:rPr>
          <w:lang w:val="en-GB"/>
        </w:rPr>
        <w:t xml:space="preserve">Sims, Christopher A. "Macroeconomics and reality." </w:t>
      </w:r>
      <w:r w:rsidRPr="00F916C1">
        <w:rPr>
          <w:i/>
          <w:iCs/>
          <w:lang w:val="en-GB"/>
        </w:rPr>
        <w:t>Modelling Economic Series. Clarendon Press, Oxford</w:t>
      </w:r>
      <w:r w:rsidRPr="00F916C1">
        <w:rPr>
          <w:lang w:val="en-GB"/>
        </w:rPr>
        <w:t xml:space="preserve"> (1990).</w:t>
      </w:r>
    </w:p>
    <w:sectPr w:rsidR="008959FA" w:rsidRPr="006E01E7" w:rsidSect="009F729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A87" w:rsidRDefault="00EB4A87" w:rsidP="004439A6">
      <w:r>
        <w:separator/>
      </w:r>
    </w:p>
  </w:endnote>
  <w:endnote w:type="continuationSeparator" w:id="0">
    <w:p w:rsidR="00EB4A87" w:rsidRDefault="00EB4A87" w:rsidP="0044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A87" w:rsidRDefault="00EB4A87" w:rsidP="004439A6">
      <w:r>
        <w:separator/>
      </w:r>
    </w:p>
  </w:footnote>
  <w:footnote w:type="continuationSeparator" w:id="0">
    <w:p w:rsidR="00EB4A87" w:rsidRDefault="00EB4A87" w:rsidP="00443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5CD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302D31"/>
    <w:multiLevelType w:val="hybridMultilevel"/>
    <w:tmpl w:val="E5ACBDA4"/>
    <w:lvl w:ilvl="0" w:tplc="0407000F">
      <w:start w:val="1"/>
      <w:numFmt w:val="decimal"/>
      <w:lvlText w:val="%1."/>
      <w:lvlJc w:val="left"/>
      <w:pPr>
        <w:tabs>
          <w:tab w:val="num" w:pos="2148"/>
        </w:tabs>
        <w:ind w:left="2148" w:hanging="360"/>
      </w:pPr>
    </w:lvl>
    <w:lvl w:ilvl="1" w:tplc="04070019" w:tentative="1">
      <w:start w:val="1"/>
      <w:numFmt w:val="lowerLetter"/>
      <w:lvlText w:val="%2."/>
      <w:lvlJc w:val="left"/>
      <w:pPr>
        <w:tabs>
          <w:tab w:val="num" w:pos="2868"/>
        </w:tabs>
        <w:ind w:left="2868" w:hanging="360"/>
      </w:pPr>
    </w:lvl>
    <w:lvl w:ilvl="2" w:tplc="0407001B" w:tentative="1">
      <w:start w:val="1"/>
      <w:numFmt w:val="lowerRoman"/>
      <w:lvlText w:val="%3."/>
      <w:lvlJc w:val="right"/>
      <w:pPr>
        <w:tabs>
          <w:tab w:val="num" w:pos="3588"/>
        </w:tabs>
        <w:ind w:left="3588" w:hanging="180"/>
      </w:pPr>
    </w:lvl>
    <w:lvl w:ilvl="3" w:tplc="0407000F" w:tentative="1">
      <w:start w:val="1"/>
      <w:numFmt w:val="decimal"/>
      <w:lvlText w:val="%4."/>
      <w:lvlJc w:val="left"/>
      <w:pPr>
        <w:tabs>
          <w:tab w:val="num" w:pos="4308"/>
        </w:tabs>
        <w:ind w:left="4308" w:hanging="360"/>
      </w:pPr>
    </w:lvl>
    <w:lvl w:ilvl="4" w:tplc="04070019" w:tentative="1">
      <w:start w:val="1"/>
      <w:numFmt w:val="lowerLetter"/>
      <w:lvlText w:val="%5."/>
      <w:lvlJc w:val="left"/>
      <w:pPr>
        <w:tabs>
          <w:tab w:val="num" w:pos="5028"/>
        </w:tabs>
        <w:ind w:left="5028" w:hanging="360"/>
      </w:pPr>
    </w:lvl>
    <w:lvl w:ilvl="5" w:tplc="0407001B" w:tentative="1">
      <w:start w:val="1"/>
      <w:numFmt w:val="lowerRoman"/>
      <w:lvlText w:val="%6."/>
      <w:lvlJc w:val="right"/>
      <w:pPr>
        <w:tabs>
          <w:tab w:val="num" w:pos="5748"/>
        </w:tabs>
        <w:ind w:left="5748" w:hanging="180"/>
      </w:pPr>
    </w:lvl>
    <w:lvl w:ilvl="6" w:tplc="0407000F" w:tentative="1">
      <w:start w:val="1"/>
      <w:numFmt w:val="decimal"/>
      <w:lvlText w:val="%7."/>
      <w:lvlJc w:val="left"/>
      <w:pPr>
        <w:tabs>
          <w:tab w:val="num" w:pos="6468"/>
        </w:tabs>
        <w:ind w:left="6468" w:hanging="360"/>
      </w:pPr>
    </w:lvl>
    <w:lvl w:ilvl="7" w:tplc="04070019" w:tentative="1">
      <w:start w:val="1"/>
      <w:numFmt w:val="lowerLetter"/>
      <w:lvlText w:val="%8."/>
      <w:lvlJc w:val="left"/>
      <w:pPr>
        <w:tabs>
          <w:tab w:val="num" w:pos="7188"/>
        </w:tabs>
        <w:ind w:left="7188" w:hanging="360"/>
      </w:pPr>
    </w:lvl>
    <w:lvl w:ilvl="8" w:tplc="0407001B" w:tentative="1">
      <w:start w:val="1"/>
      <w:numFmt w:val="lowerRoman"/>
      <w:lvlText w:val="%9."/>
      <w:lvlJc w:val="right"/>
      <w:pPr>
        <w:tabs>
          <w:tab w:val="num" w:pos="7908"/>
        </w:tabs>
        <w:ind w:left="7908" w:hanging="180"/>
      </w:pPr>
    </w:lvl>
  </w:abstractNum>
  <w:abstractNum w:abstractNumId="2" w15:restartNumberingAfterBreak="0">
    <w:nsid w:val="13D0350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0B3D83"/>
    <w:multiLevelType w:val="hybridMultilevel"/>
    <w:tmpl w:val="354853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D93451C"/>
    <w:multiLevelType w:val="singleLevel"/>
    <w:tmpl w:val="48CAD6BA"/>
    <w:lvl w:ilvl="0">
      <w:start w:val="1"/>
      <w:numFmt w:val="bullet"/>
      <w:lvlText w:val="–"/>
      <w:lvlJc w:val="left"/>
      <w:pPr>
        <w:tabs>
          <w:tab w:val="num" w:pos="794"/>
        </w:tabs>
        <w:ind w:left="794" w:hanging="397"/>
      </w:pPr>
      <w:rPr>
        <w:rFonts w:ascii="Times New Roman" w:hAnsi="Times New Roman" w:hint="default"/>
        <w:b w:val="0"/>
        <w:i w:val="0"/>
        <w:sz w:val="28"/>
        <w:u w:val="none"/>
      </w:rPr>
    </w:lvl>
  </w:abstractNum>
  <w:abstractNum w:abstractNumId="5" w15:restartNumberingAfterBreak="0">
    <w:nsid w:val="2E3A1358"/>
    <w:multiLevelType w:val="singleLevel"/>
    <w:tmpl w:val="48CAD6BA"/>
    <w:lvl w:ilvl="0">
      <w:start w:val="1"/>
      <w:numFmt w:val="bullet"/>
      <w:lvlText w:val="–"/>
      <w:lvlJc w:val="left"/>
      <w:pPr>
        <w:tabs>
          <w:tab w:val="num" w:pos="794"/>
        </w:tabs>
        <w:ind w:left="794" w:hanging="397"/>
      </w:pPr>
      <w:rPr>
        <w:rFonts w:ascii="Times New Roman" w:hAnsi="Times New Roman" w:hint="default"/>
        <w:b w:val="0"/>
        <w:i w:val="0"/>
        <w:sz w:val="28"/>
        <w:u w:val="none"/>
      </w:rPr>
    </w:lvl>
  </w:abstractNum>
  <w:abstractNum w:abstractNumId="6" w15:restartNumberingAfterBreak="0">
    <w:nsid w:val="3B173336"/>
    <w:multiLevelType w:val="hybridMultilevel"/>
    <w:tmpl w:val="79DA4428"/>
    <w:lvl w:ilvl="0" w:tplc="10DE651C">
      <w:start w:val="1"/>
      <w:numFmt w:val="decimal"/>
      <w:lvlText w:val="(%1)"/>
      <w:lvlJc w:val="left"/>
      <w:pPr>
        <w:ind w:left="405" w:hanging="360"/>
      </w:pPr>
      <w:rPr>
        <w:rFonts w:hint="default"/>
        <w:sz w:val="20"/>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7" w15:restartNumberingAfterBreak="0">
    <w:nsid w:val="3DE70AB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0E6F54"/>
    <w:multiLevelType w:val="hybridMultilevel"/>
    <w:tmpl w:val="79DA4428"/>
    <w:lvl w:ilvl="0" w:tplc="10DE651C">
      <w:start w:val="1"/>
      <w:numFmt w:val="decimal"/>
      <w:lvlText w:val="(%1)"/>
      <w:lvlJc w:val="left"/>
      <w:pPr>
        <w:ind w:left="405" w:hanging="360"/>
      </w:pPr>
      <w:rPr>
        <w:rFonts w:hint="default"/>
        <w:sz w:val="20"/>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9" w15:restartNumberingAfterBreak="0">
    <w:nsid w:val="41163013"/>
    <w:multiLevelType w:val="hybridMultilevel"/>
    <w:tmpl w:val="F4AAC21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319639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8552D16"/>
    <w:multiLevelType w:val="singleLevel"/>
    <w:tmpl w:val="D9ECB80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B6C0C8F"/>
    <w:multiLevelType w:val="singleLevel"/>
    <w:tmpl w:val="48CAD6BA"/>
    <w:lvl w:ilvl="0">
      <w:start w:val="1"/>
      <w:numFmt w:val="bullet"/>
      <w:lvlText w:val="–"/>
      <w:lvlJc w:val="left"/>
      <w:pPr>
        <w:tabs>
          <w:tab w:val="num" w:pos="794"/>
        </w:tabs>
        <w:ind w:left="794" w:hanging="397"/>
      </w:pPr>
      <w:rPr>
        <w:rFonts w:ascii="Times New Roman" w:hAnsi="Times New Roman" w:hint="default"/>
        <w:b w:val="0"/>
        <w:i w:val="0"/>
        <w:sz w:val="28"/>
        <w:u w:val="none"/>
      </w:rPr>
    </w:lvl>
  </w:abstractNum>
  <w:abstractNum w:abstractNumId="13" w15:restartNumberingAfterBreak="0">
    <w:nsid w:val="5FD4261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11D6B6B"/>
    <w:multiLevelType w:val="singleLevel"/>
    <w:tmpl w:val="08C84B44"/>
    <w:lvl w:ilvl="0">
      <w:start w:val="1"/>
      <w:numFmt w:val="bullet"/>
      <w:lvlText w:val=""/>
      <w:lvlJc w:val="left"/>
      <w:pPr>
        <w:tabs>
          <w:tab w:val="num" w:pos="907"/>
        </w:tabs>
        <w:ind w:left="907" w:hanging="397"/>
      </w:pPr>
      <w:rPr>
        <w:rFonts w:ascii="Symbol" w:hAnsi="Symbol" w:hint="default"/>
      </w:rPr>
    </w:lvl>
  </w:abstractNum>
  <w:abstractNum w:abstractNumId="15" w15:restartNumberingAfterBreak="0">
    <w:nsid w:val="65DA3A8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7B96C5F"/>
    <w:multiLevelType w:val="multilevel"/>
    <w:tmpl w:val="70AAB85A"/>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1531"/>
        </w:tabs>
        <w:ind w:left="1531" w:hanging="1531"/>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7" w15:restartNumberingAfterBreak="0">
    <w:nsid w:val="70152F3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5AF031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8E9470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C440D83"/>
    <w:multiLevelType w:val="singleLevel"/>
    <w:tmpl w:val="48CAD6BA"/>
    <w:lvl w:ilvl="0">
      <w:start w:val="1"/>
      <w:numFmt w:val="bullet"/>
      <w:lvlText w:val="–"/>
      <w:lvlJc w:val="left"/>
      <w:pPr>
        <w:tabs>
          <w:tab w:val="num" w:pos="794"/>
        </w:tabs>
        <w:ind w:left="794" w:hanging="397"/>
      </w:pPr>
      <w:rPr>
        <w:rFonts w:ascii="Times New Roman" w:hAnsi="Times New Roman" w:hint="default"/>
        <w:b w:val="0"/>
        <w:i w:val="0"/>
        <w:sz w:val="28"/>
        <w:u w:val="none"/>
      </w:rPr>
    </w:lvl>
  </w:abstractNum>
  <w:abstractNum w:abstractNumId="21" w15:restartNumberingAfterBreak="0">
    <w:nsid w:val="7F2F0B0A"/>
    <w:multiLevelType w:val="singleLevel"/>
    <w:tmpl w:val="8D12595E"/>
    <w:lvl w:ilvl="0">
      <w:start w:val="1"/>
      <w:numFmt w:val="bullet"/>
      <w:lvlText w:val=""/>
      <w:lvlJc w:val="left"/>
      <w:pPr>
        <w:tabs>
          <w:tab w:val="num" w:pos="1191"/>
        </w:tabs>
        <w:ind w:left="1191" w:hanging="454"/>
      </w:pPr>
      <w:rPr>
        <w:rFonts w:ascii="Symbol" w:hAnsi="Symbol" w:hint="default"/>
      </w:rPr>
    </w:lvl>
  </w:abstractNum>
  <w:num w:numId="1">
    <w:abstractNumId w:val="14"/>
  </w:num>
  <w:num w:numId="2">
    <w:abstractNumId w:val="5"/>
  </w:num>
  <w:num w:numId="3">
    <w:abstractNumId w:val="12"/>
  </w:num>
  <w:num w:numId="4">
    <w:abstractNumId w:val="20"/>
  </w:num>
  <w:num w:numId="5">
    <w:abstractNumId w:val="4"/>
  </w:num>
  <w:num w:numId="6">
    <w:abstractNumId w:val="7"/>
  </w:num>
  <w:num w:numId="7">
    <w:abstractNumId w:val="18"/>
  </w:num>
  <w:num w:numId="8">
    <w:abstractNumId w:val="19"/>
  </w:num>
  <w:num w:numId="9">
    <w:abstractNumId w:val="13"/>
  </w:num>
  <w:num w:numId="10">
    <w:abstractNumId w:val="16"/>
  </w:num>
  <w:num w:numId="11">
    <w:abstractNumId w:val="21"/>
  </w:num>
  <w:num w:numId="12">
    <w:abstractNumId w:val="15"/>
  </w:num>
  <w:num w:numId="13">
    <w:abstractNumId w:val="10"/>
  </w:num>
  <w:num w:numId="14">
    <w:abstractNumId w:val="0"/>
  </w:num>
  <w:num w:numId="15">
    <w:abstractNumId w:val="17"/>
  </w:num>
  <w:num w:numId="16">
    <w:abstractNumId w:val="2"/>
  </w:num>
  <w:num w:numId="17">
    <w:abstractNumId w:val="11"/>
  </w:num>
  <w:num w:numId="18">
    <w:abstractNumId w:val="9"/>
  </w:num>
  <w:num w:numId="19">
    <w:abstractNumId w:val="1"/>
  </w:num>
  <w:num w:numId="20">
    <w:abstractNumId w:val="3"/>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C5"/>
    <w:rsid w:val="00065748"/>
    <w:rsid w:val="000775D1"/>
    <w:rsid w:val="001023A7"/>
    <w:rsid w:val="00132614"/>
    <w:rsid w:val="00136640"/>
    <w:rsid w:val="001764A1"/>
    <w:rsid w:val="00197F4C"/>
    <w:rsid w:val="001B68E1"/>
    <w:rsid w:val="001C10AB"/>
    <w:rsid w:val="0020139D"/>
    <w:rsid w:val="00203B41"/>
    <w:rsid w:val="00242AAF"/>
    <w:rsid w:val="0029504F"/>
    <w:rsid w:val="00295EB3"/>
    <w:rsid w:val="002A4377"/>
    <w:rsid w:val="002C1A75"/>
    <w:rsid w:val="002F02B0"/>
    <w:rsid w:val="003030FE"/>
    <w:rsid w:val="00380382"/>
    <w:rsid w:val="00385F8B"/>
    <w:rsid w:val="003933AE"/>
    <w:rsid w:val="00393409"/>
    <w:rsid w:val="003954F2"/>
    <w:rsid w:val="00436A76"/>
    <w:rsid w:val="004439A6"/>
    <w:rsid w:val="00452221"/>
    <w:rsid w:val="0045252E"/>
    <w:rsid w:val="0047171C"/>
    <w:rsid w:val="004A2B09"/>
    <w:rsid w:val="004A5FAF"/>
    <w:rsid w:val="004C4408"/>
    <w:rsid w:val="004F170D"/>
    <w:rsid w:val="00546AC6"/>
    <w:rsid w:val="005556A5"/>
    <w:rsid w:val="005711AE"/>
    <w:rsid w:val="00576DF6"/>
    <w:rsid w:val="00594255"/>
    <w:rsid w:val="005C2487"/>
    <w:rsid w:val="00601FC1"/>
    <w:rsid w:val="00642A55"/>
    <w:rsid w:val="0064762B"/>
    <w:rsid w:val="006500C2"/>
    <w:rsid w:val="00657EBC"/>
    <w:rsid w:val="00665BB6"/>
    <w:rsid w:val="0068069B"/>
    <w:rsid w:val="0068718A"/>
    <w:rsid w:val="00696395"/>
    <w:rsid w:val="006A6CF3"/>
    <w:rsid w:val="006E01E7"/>
    <w:rsid w:val="006E1A65"/>
    <w:rsid w:val="007605AE"/>
    <w:rsid w:val="007919BC"/>
    <w:rsid w:val="00797957"/>
    <w:rsid w:val="007B07FF"/>
    <w:rsid w:val="007D4EA6"/>
    <w:rsid w:val="007E0FE3"/>
    <w:rsid w:val="00807A57"/>
    <w:rsid w:val="00831B60"/>
    <w:rsid w:val="008541F3"/>
    <w:rsid w:val="008906AF"/>
    <w:rsid w:val="00892630"/>
    <w:rsid w:val="008959FA"/>
    <w:rsid w:val="008A1152"/>
    <w:rsid w:val="008A41C5"/>
    <w:rsid w:val="008C7F1C"/>
    <w:rsid w:val="00901546"/>
    <w:rsid w:val="0090771A"/>
    <w:rsid w:val="00927D52"/>
    <w:rsid w:val="009F2002"/>
    <w:rsid w:val="009F2483"/>
    <w:rsid w:val="009F724A"/>
    <w:rsid w:val="009F729E"/>
    <w:rsid w:val="00A52976"/>
    <w:rsid w:val="00A6021D"/>
    <w:rsid w:val="00A65156"/>
    <w:rsid w:val="00A7020C"/>
    <w:rsid w:val="00AA052D"/>
    <w:rsid w:val="00AE4231"/>
    <w:rsid w:val="00AF5558"/>
    <w:rsid w:val="00B82C46"/>
    <w:rsid w:val="00BB4234"/>
    <w:rsid w:val="00BC30FF"/>
    <w:rsid w:val="00BE7030"/>
    <w:rsid w:val="00C058C3"/>
    <w:rsid w:val="00C129A9"/>
    <w:rsid w:val="00C35F68"/>
    <w:rsid w:val="00C50ADB"/>
    <w:rsid w:val="00C860BE"/>
    <w:rsid w:val="00C909B1"/>
    <w:rsid w:val="00C93470"/>
    <w:rsid w:val="00CB12D8"/>
    <w:rsid w:val="00CB1697"/>
    <w:rsid w:val="00D52C3E"/>
    <w:rsid w:val="00D863E7"/>
    <w:rsid w:val="00DA402D"/>
    <w:rsid w:val="00DA70BA"/>
    <w:rsid w:val="00DB7123"/>
    <w:rsid w:val="00E04020"/>
    <w:rsid w:val="00E4181A"/>
    <w:rsid w:val="00E44A26"/>
    <w:rsid w:val="00E937FD"/>
    <w:rsid w:val="00EB2749"/>
    <w:rsid w:val="00EB4A87"/>
    <w:rsid w:val="00EF3DA1"/>
    <w:rsid w:val="00F32CCD"/>
    <w:rsid w:val="00F60F6D"/>
    <w:rsid w:val="00F83AB8"/>
    <w:rsid w:val="00FA7968"/>
    <w:rsid w:val="00FE08B4"/>
    <w:rsid w:val="00FE29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9977B4-90ED-46F9-8AE3-CD4C51B6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0FF"/>
    <w:pPr>
      <w:ind w:firstLine="709"/>
    </w:pPr>
    <w:rPr>
      <w:lang w:val="de-DE" w:eastAsia="de-DE"/>
    </w:rPr>
  </w:style>
  <w:style w:type="paragraph" w:styleId="Heading1">
    <w:name w:val="heading 1"/>
    <w:basedOn w:val="Normal"/>
    <w:next w:val="Normal"/>
    <w:qFormat/>
    <w:rsid w:val="00BC30FF"/>
    <w:pPr>
      <w:keepNext/>
      <w:ind w:firstLine="0"/>
      <w:outlineLvl w:val="0"/>
    </w:pPr>
    <w:rPr>
      <w:b/>
      <w:sz w:val="28"/>
      <w:szCs w:val="28"/>
    </w:rPr>
  </w:style>
  <w:style w:type="paragraph" w:styleId="Heading2">
    <w:name w:val="heading 2"/>
    <w:basedOn w:val="Normal"/>
    <w:next w:val="Normal"/>
    <w:qFormat/>
    <w:rsid w:val="00BC30FF"/>
    <w:pPr>
      <w:keepNext/>
      <w:spacing w:before="240" w:line="360" w:lineRule="auto"/>
      <w:ind w:firstLine="0"/>
      <w:jc w:val="both"/>
      <w:outlineLvl w:val="1"/>
    </w:pPr>
    <w:rPr>
      <w:b/>
      <w:szCs w:val="24"/>
    </w:rPr>
  </w:style>
  <w:style w:type="paragraph" w:styleId="Heading3">
    <w:name w:val="heading 3"/>
    <w:basedOn w:val="Normal"/>
    <w:next w:val="Normal"/>
    <w:qFormat/>
    <w:rsid w:val="0020139D"/>
    <w:pPr>
      <w:keepNext/>
      <w:spacing w:before="24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E">
    <w:name w:val="ZE"/>
    <w:rsid w:val="0020139D"/>
    <w:pPr>
      <w:keepLines/>
      <w:spacing w:line="300" w:lineRule="exact"/>
      <w:jc w:val="center"/>
    </w:pPr>
    <w:rPr>
      <w:rFonts w:ascii="Times" w:hAnsi="Times"/>
      <w:sz w:val="24"/>
      <w:lang w:val="de-DE" w:eastAsia="de-DE"/>
    </w:rPr>
  </w:style>
  <w:style w:type="paragraph" w:styleId="BodyText">
    <w:name w:val="Body Text"/>
    <w:basedOn w:val="Normal"/>
    <w:rsid w:val="0020139D"/>
    <w:pPr>
      <w:jc w:val="both"/>
    </w:pPr>
    <w:rPr>
      <w:lang w:val="de-AT"/>
    </w:rPr>
  </w:style>
  <w:style w:type="paragraph" w:styleId="FootnoteText">
    <w:name w:val="footnote text"/>
    <w:basedOn w:val="Normal"/>
    <w:link w:val="FootnoteTextChar"/>
    <w:uiPriority w:val="99"/>
    <w:semiHidden/>
    <w:rsid w:val="0020139D"/>
    <w:pPr>
      <w:spacing w:line="360" w:lineRule="auto"/>
      <w:jc w:val="both"/>
    </w:pPr>
  </w:style>
  <w:style w:type="paragraph" w:styleId="Header">
    <w:name w:val="header"/>
    <w:basedOn w:val="Normal"/>
    <w:rsid w:val="0020139D"/>
    <w:pPr>
      <w:tabs>
        <w:tab w:val="center" w:pos="4536"/>
        <w:tab w:val="right" w:pos="9072"/>
      </w:tabs>
      <w:spacing w:line="360" w:lineRule="auto"/>
      <w:jc w:val="both"/>
    </w:pPr>
  </w:style>
  <w:style w:type="character" w:styleId="FootnoteReference">
    <w:name w:val="footnote reference"/>
    <w:uiPriority w:val="99"/>
    <w:semiHidden/>
    <w:rsid w:val="0020139D"/>
    <w:rPr>
      <w:vertAlign w:val="superscript"/>
    </w:rPr>
  </w:style>
  <w:style w:type="paragraph" w:styleId="BodyTextIndent3">
    <w:name w:val="Body Text Indent 3"/>
    <w:basedOn w:val="Normal"/>
    <w:rsid w:val="0020139D"/>
    <w:pPr>
      <w:tabs>
        <w:tab w:val="left" w:pos="284"/>
      </w:tabs>
      <w:spacing w:line="240" w:lineRule="atLeast"/>
      <w:ind w:left="284" w:hanging="284"/>
      <w:jc w:val="both"/>
    </w:pPr>
    <w:rPr>
      <w:lang w:val="en-US"/>
    </w:rPr>
  </w:style>
  <w:style w:type="paragraph" w:customStyle="1" w:styleId="literature">
    <w:name w:val="literature"/>
    <w:basedOn w:val="Normal"/>
    <w:rsid w:val="00BC30FF"/>
    <w:pPr>
      <w:spacing w:line="240" w:lineRule="atLeast"/>
      <w:ind w:left="284" w:hanging="284"/>
      <w:jc w:val="both"/>
    </w:pPr>
    <w:rPr>
      <w:lang w:val="en-US"/>
    </w:rPr>
  </w:style>
  <w:style w:type="character" w:styleId="Hyperlink">
    <w:name w:val="Hyperlink"/>
    <w:basedOn w:val="DefaultParagraphFont"/>
    <w:uiPriority w:val="99"/>
    <w:unhideWhenUsed/>
    <w:rsid w:val="00132614"/>
    <w:rPr>
      <w:color w:val="0000FF" w:themeColor="hyperlink"/>
      <w:u w:val="single"/>
    </w:rPr>
  </w:style>
  <w:style w:type="paragraph" w:styleId="BalloonText">
    <w:name w:val="Balloon Text"/>
    <w:basedOn w:val="Normal"/>
    <w:link w:val="BalloonTextChar"/>
    <w:uiPriority w:val="99"/>
    <w:semiHidden/>
    <w:unhideWhenUsed/>
    <w:rsid w:val="00C50ADB"/>
    <w:rPr>
      <w:rFonts w:ascii="Tahoma" w:hAnsi="Tahoma" w:cs="Tahoma"/>
      <w:sz w:val="16"/>
      <w:szCs w:val="16"/>
    </w:rPr>
  </w:style>
  <w:style w:type="character" w:customStyle="1" w:styleId="BalloonTextChar">
    <w:name w:val="Balloon Text Char"/>
    <w:basedOn w:val="DefaultParagraphFont"/>
    <w:link w:val="BalloonText"/>
    <w:uiPriority w:val="99"/>
    <w:semiHidden/>
    <w:rsid w:val="00C50ADB"/>
    <w:rPr>
      <w:rFonts w:ascii="Tahoma" w:hAnsi="Tahoma" w:cs="Tahoma"/>
      <w:sz w:val="16"/>
      <w:szCs w:val="16"/>
      <w:lang w:val="de-DE" w:eastAsia="de-DE"/>
    </w:rPr>
  </w:style>
  <w:style w:type="paragraph" w:styleId="ListParagraph">
    <w:name w:val="List Paragraph"/>
    <w:basedOn w:val="Normal"/>
    <w:uiPriority w:val="34"/>
    <w:qFormat/>
    <w:rsid w:val="009F2002"/>
    <w:pPr>
      <w:spacing w:after="200" w:line="276" w:lineRule="auto"/>
      <w:ind w:left="720" w:firstLine="0"/>
      <w:contextualSpacing/>
    </w:pPr>
    <w:rPr>
      <w:rFonts w:asciiTheme="minorHAnsi" w:eastAsiaTheme="minorHAnsi" w:hAnsiTheme="minorHAnsi" w:cstheme="minorBidi"/>
      <w:sz w:val="22"/>
      <w:szCs w:val="22"/>
      <w:lang w:val="en-US" w:eastAsia="en-US"/>
    </w:rPr>
  </w:style>
  <w:style w:type="character" w:customStyle="1" w:styleId="FootnoteTextChar">
    <w:name w:val="Footnote Text Char"/>
    <w:basedOn w:val="DefaultParagraphFont"/>
    <w:link w:val="FootnoteText"/>
    <w:uiPriority w:val="99"/>
    <w:semiHidden/>
    <w:rsid w:val="004439A6"/>
    <w:rPr>
      <w:lang w:val="de-DE" w:eastAsia="de-DE"/>
    </w:rPr>
  </w:style>
  <w:style w:type="paragraph" w:customStyle="1" w:styleId="Default">
    <w:name w:val="Default"/>
    <w:rsid w:val="00927D52"/>
    <w:pPr>
      <w:autoSpaceDE w:val="0"/>
      <w:autoSpaceDN w:val="0"/>
      <w:adjustRightInd w:val="0"/>
    </w:pPr>
    <w:rPr>
      <w:rFonts w:eastAsiaTheme="minorEastAsia"/>
      <w:color w:val="000000"/>
      <w:sz w:val="24"/>
      <w:szCs w:val="24"/>
      <w:lang w:val="en-US" w:eastAsia="en-US"/>
    </w:rPr>
  </w:style>
  <w:style w:type="character" w:customStyle="1" w:styleId="skypepnhleftspan">
    <w:name w:val="skype_pnh_left_span"/>
    <w:basedOn w:val="DefaultParagraphFont"/>
    <w:rsid w:val="008959FA"/>
  </w:style>
  <w:style w:type="character" w:customStyle="1" w:styleId="skypepnhmark">
    <w:name w:val="skype_pnh_mark"/>
    <w:basedOn w:val="DefaultParagraphFont"/>
    <w:rsid w:val="00B82C46"/>
    <w:rPr>
      <w:vanish/>
      <w:webHidden w:val="0"/>
      <w:specVanish w:val="0"/>
    </w:rPr>
  </w:style>
  <w:style w:type="character" w:customStyle="1" w:styleId="volume">
    <w:name w:val="volume"/>
    <w:basedOn w:val="DefaultParagraphFont"/>
    <w:rsid w:val="00B82C46"/>
  </w:style>
  <w:style w:type="character" w:customStyle="1" w:styleId="skypepnhprintcontainer">
    <w:name w:val="skype_pnh_print_container"/>
    <w:basedOn w:val="DefaultParagraphFont"/>
    <w:rsid w:val="00B82C46"/>
  </w:style>
  <w:style w:type="character" w:customStyle="1" w:styleId="skypepnhcontainer">
    <w:name w:val="skype_pnh_container"/>
    <w:basedOn w:val="DefaultParagraphFont"/>
    <w:rsid w:val="00B82C46"/>
  </w:style>
  <w:style w:type="table" w:styleId="TableGrid">
    <w:name w:val="Table Grid"/>
    <w:basedOn w:val="TableNormal"/>
    <w:uiPriority w:val="59"/>
    <w:rsid w:val="001023A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ndre.lorentzen@uis.no" TargetMode="External"/><Relationship Id="rId3" Type="http://schemas.openxmlformats.org/officeDocument/2006/relationships/settings" Target="settings.xml"/><Relationship Id="rId7" Type="http://schemas.openxmlformats.org/officeDocument/2006/relationships/hyperlink" Target="mailto:roy.e.dahl@uis.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etter.osmundsen@uis.no" TargetMode="External"/><Relationship Id="rId4" Type="http://schemas.openxmlformats.org/officeDocument/2006/relationships/webSettings" Target="webSettings.xml"/><Relationship Id="rId9" Type="http://schemas.openxmlformats.org/officeDocument/2006/relationships/hyperlink" Target="mailto:atle.oglend@uis.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5470</Characters>
  <Application>Microsoft Office Word</Application>
  <DocSecurity>0</DocSecurity>
  <Lines>45</Lines>
  <Paragraphs>12</Paragraphs>
  <ScaleCrop>false</ScaleCrop>
  <HeadingPairs>
    <vt:vector size="6" baseType="variant">
      <vt:variant>
        <vt:lpstr>Title</vt:lpstr>
      </vt:variant>
      <vt:variant>
        <vt:i4>1</vt:i4>
      </vt:variant>
      <vt:variant>
        <vt:lpstr>Tittel</vt:lpstr>
      </vt:variant>
      <vt:variant>
        <vt:i4>1</vt:i4>
      </vt:variant>
      <vt:variant>
        <vt:lpstr>Titel</vt:lpstr>
      </vt:variant>
      <vt:variant>
        <vt:i4>1</vt:i4>
      </vt:variant>
    </vt:vector>
  </HeadingPairs>
  <TitlesOfParts>
    <vt:vector size="3" baseType="lpstr">
      <vt:lpstr>Das Ende des Wettbewerbs im westeuropäischen Strommarkt</vt:lpstr>
      <vt:lpstr>Das Ende des Wettbewerbs im westeuropäischen Strommarkt</vt:lpstr>
      <vt:lpstr>Das Ende des Wettbewerbs im westeuropäischen Strommarkt</vt:lpstr>
    </vt:vector>
  </TitlesOfParts>
  <Company>TU-WIEN</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Ende des Wettbewerbs im westeuropäischen Strommarkt</dc:title>
  <dc:creator>IEW</dc:creator>
  <cp:lastModifiedBy>Atle Øglend</cp:lastModifiedBy>
  <cp:revision>2</cp:revision>
  <cp:lastPrinted>2002-11-28T11:38:00Z</cp:lastPrinted>
  <dcterms:created xsi:type="dcterms:W3CDTF">2016-03-08T15:08:00Z</dcterms:created>
  <dcterms:modified xsi:type="dcterms:W3CDTF">2016-03-08T15:08:00Z</dcterms:modified>
</cp:coreProperties>
</file>