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129" w:rsidRPr="00C62129" w:rsidRDefault="00C62129" w:rsidP="00C62129">
      <w:pPr>
        <w:pStyle w:val="berschrift1"/>
        <w:framePr w:w="10475" w:h="1892" w:hRule="exact" w:hSpace="187" w:wrap="auto" w:vAnchor="page" w:hAnchor="page" w:x="864" w:y="752"/>
        <w:rPr>
          <w:rFonts w:ascii="Times New Roman" w:hAnsi="Times New Roman"/>
          <w:i/>
          <w:caps/>
          <w:color w:val="000000" w:themeColor="text1"/>
          <w:lang w:val="en-US"/>
        </w:rPr>
      </w:pPr>
      <w:r>
        <w:rPr>
          <w:rFonts w:ascii="Times New Roman" w:hAnsi="Times New Roman"/>
          <w:i/>
          <w:caps/>
          <w:color w:val="000000" w:themeColor="text1"/>
          <w:lang w:val="en-US"/>
        </w:rPr>
        <w:t>O</w:t>
      </w:r>
      <w:r w:rsidRPr="00C62129">
        <w:rPr>
          <w:rFonts w:ascii="Times New Roman" w:hAnsi="Times New Roman"/>
          <w:i/>
          <w:caps/>
          <w:color w:val="000000" w:themeColor="text1"/>
          <w:lang w:val="en-US"/>
        </w:rPr>
        <w:t>n</w:t>
      </w:r>
      <w:r>
        <w:rPr>
          <w:rFonts w:ascii="Times New Roman" w:hAnsi="Times New Roman"/>
          <w:i/>
          <w:caps/>
          <w:color w:val="000000" w:themeColor="text1"/>
          <w:lang w:val="en-US"/>
        </w:rPr>
        <w:t xml:space="preserve"> </w:t>
      </w:r>
      <w:r w:rsidRPr="00C62129">
        <w:rPr>
          <w:rFonts w:ascii="Times New Roman" w:hAnsi="Times New Roman"/>
          <w:i/>
          <w:caps/>
          <w:color w:val="000000" w:themeColor="text1"/>
          <w:lang w:val="en-US"/>
        </w:rPr>
        <w:t>T</w:t>
      </w:r>
      <w:r>
        <w:rPr>
          <w:rFonts w:ascii="Times New Roman" w:hAnsi="Times New Roman"/>
          <w:i/>
          <w:caps/>
          <w:color w:val="000000" w:themeColor="text1"/>
          <w:lang w:val="en-US"/>
        </w:rPr>
        <w:t>H</w:t>
      </w:r>
      <w:r w:rsidRPr="00C62129">
        <w:rPr>
          <w:rFonts w:ascii="Times New Roman" w:hAnsi="Times New Roman"/>
          <w:i/>
          <w:caps/>
          <w:color w:val="000000" w:themeColor="text1"/>
          <w:lang w:val="en-US"/>
        </w:rPr>
        <w:t>e</w:t>
      </w:r>
      <w:r>
        <w:rPr>
          <w:rFonts w:ascii="Times New Roman" w:hAnsi="Times New Roman"/>
          <w:i/>
          <w:caps/>
          <w:color w:val="000000" w:themeColor="text1"/>
          <w:lang w:val="en-US"/>
        </w:rPr>
        <w:t xml:space="preserve"> </w:t>
      </w:r>
      <w:r w:rsidR="00430D5A" w:rsidRPr="00430D5A">
        <w:rPr>
          <w:rFonts w:ascii="Times New Roman" w:hAnsi="Times New Roman"/>
          <w:i/>
          <w:caps/>
          <w:color w:val="000000" w:themeColor="text1"/>
          <w:lang w:val="en-US"/>
        </w:rPr>
        <w:t>future role of hydrogen: storage for electricity and fuel for mobility</w:t>
      </w:r>
      <w:bookmarkStart w:id="0" w:name="_GoBack"/>
      <w:bookmarkEnd w:id="0"/>
    </w:p>
    <w:p w:rsidR="00C62129" w:rsidRPr="00C62129" w:rsidRDefault="00C62129" w:rsidP="00C62129">
      <w:pPr>
        <w:pStyle w:val="berschrift3"/>
        <w:framePr w:w="10475" w:h="1892" w:hRule="exact" w:hSpace="187" w:wrap="auto" w:vAnchor="page" w:hAnchor="page" w:x="864" w:y="752"/>
        <w:spacing w:before="0"/>
        <w:jc w:val="right"/>
        <w:rPr>
          <w:bCs w:val="0"/>
          <w:i/>
          <w:iCs/>
          <w:color w:val="000000" w:themeColor="text1"/>
          <w:lang w:val="pt-PT"/>
        </w:rPr>
      </w:pPr>
      <w:r w:rsidRPr="00C62129">
        <w:rPr>
          <w:rFonts w:ascii="Times New Roman" w:hAnsi="Times New Roman"/>
          <w:b w:val="0"/>
          <w:bCs w:val="0"/>
          <w:color w:val="000000" w:themeColor="text1"/>
          <w:lang w:val="pt-PT"/>
        </w:rPr>
        <w:t>Amela AJANOVIC</w:t>
      </w:r>
      <w:r w:rsidR="005441AC">
        <w:rPr>
          <w:rFonts w:ascii="Times New Roman" w:hAnsi="Times New Roman"/>
          <w:b w:val="0"/>
          <w:bCs w:val="0"/>
          <w:color w:val="000000" w:themeColor="text1"/>
          <w:lang w:val="pt-PT"/>
        </w:rPr>
        <w:t xml:space="preserve">, </w:t>
      </w:r>
      <w:r w:rsidR="00430D5A" w:rsidRPr="00C62129">
        <w:rPr>
          <w:rFonts w:ascii="Times New Roman" w:hAnsi="Times New Roman"/>
          <w:b w:val="0"/>
          <w:bCs w:val="0"/>
          <w:color w:val="000000" w:themeColor="text1"/>
          <w:lang w:val="pt-PT"/>
        </w:rPr>
        <w:t>Reinhard HAAS,</w:t>
      </w:r>
    </w:p>
    <w:p w:rsidR="00C62129" w:rsidRDefault="00C62129" w:rsidP="00C62129">
      <w:pPr>
        <w:pStyle w:val="Textkrper"/>
        <w:framePr w:w="10475" w:h="1892" w:hRule="exact" w:hSpace="187" w:wrap="auto" w:vAnchor="page" w:hAnchor="page" w:x="864" w:y="752"/>
        <w:jc w:val="right"/>
      </w:pPr>
      <w:r>
        <w:t>Energy Economics Group</w:t>
      </w:r>
      <w:r w:rsidRPr="00A41986">
        <w:t xml:space="preserve">, </w:t>
      </w:r>
      <w:r>
        <w:t xml:space="preserve">Vienna University of </w:t>
      </w:r>
      <w:r w:rsidRPr="00A41986">
        <w:t>T</w:t>
      </w:r>
      <w:r>
        <w:t>echnology, 1040 Wien,</w:t>
      </w:r>
      <w:r w:rsidRPr="00A41986">
        <w:t xml:space="preserve"> E-mail: </w:t>
      </w:r>
      <w:hyperlink r:id="rId6" w:history="1">
        <w:r w:rsidR="00430D5A" w:rsidRPr="004A7986">
          <w:rPr>
            <w:rStyle w:val="Hyperlink"/>
          </w:rPr>
          <w:t>Ajanovic@eeg.tuwien.ac.at</w:t>
        </w:r>
      </w:hyperlink>
    </w:p>
    <w:p w:rsidR="005B22C4" w:rsidRDefault="005B22C4" w:rsidP="00C63E59">
      <w:pPr>
        <w:spacing w:before="120" w:after="60"/>
        <w:rPr>
          <w:rFonts w:ascii="Arial" w:eastAsia="Times New Roman" w:hAnsi="Arial" w:cs="Arial"/>
          <w:b/>
          <w:spacing w:val="-3"/>
          <w:sz w:val="24"/>
          <w:szCs w:val="24"/>
          <w:lang w:val="en-US"/>
        </w:rPr>
      </w:pPr>
    </w:p>
    <w:p w:rsidR="00404473" w:rsidRPr="00C63E59" w:rsidRDefault="004E1ED5" w:rsidP="00C63E59">
      <w:pPr>
        <w:spacing w:before="120" w:after="60"/>
        <w:rPr>
          <w:rFonts w:ascii="Arial" w:eastAsia="Times New Roman" w:hAnsi="Arial" w:cs="Arial"/>
          <w:b/>
          <w:spacing w:val="-3"/>
          <w:sz w:val="24"/>
          <w:szCs w:val="24"/>
          <w:lang w:val="en-US"/>
        </w:rPr>
      </w:pPr>
      <w:r w:rsidRPr="00C63E59">
        <w:rPr>
          <w:rFonts w:ascii="Arial" w:eastAsia="Times New Roman" w:hAnsi="Arial" w:cs="Arial"/>
          <w:b/>
          <w:spacing w:val="-3"/>
          <w:sz w:val="24"/>
          <w:szCs w:val="24"/>
          <w:lang w:val="en-US"/>
        </w:rPr>
        <w:t>Overview</w:t>
      </w:r>
    </w:p>
    <w:p w:rsidR="004479C5" w:rsidRPr="00430D5A" w:rsidRDefault="004479C5" w:rsidP="004479C5">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Since many decades hydrogen has been considered as a universal environmentally benign energy carrier. So far high production costs stated a major barrier for a broader market </w:t>
      </w:r>
      <w:proofErr w:type="gramStart"/>
      <w:r>
        <w:rPr>
          <w:rFonts w:ascii="Times New Roman" w:hAnsi="Times New Roman" w:cs="Times New Roman"/>
          <w:sz w:val="20"/>
          <w:szCs w:val="20"/>
          <w:lang w:val="en-US"/>
        </w:rPr>
        <w:t>penetration,</w:t>
      </w:r>
      <w:proofErr w:type="gramEnd"/>
      <w:r>
        <w:rPr>
          <w:rFonts w:ascii="Times New Roman" w:hAnsi="Times New Roman" w:cs="Times New Roman"/>
          <w:sz w:val="20"/>
          <w:szCs w:val="20"/>
          <w:lang w:val="en-US"/>
        </w:rPr>
        <w:t xml:space="preserve"> see e.g. </w:t>
      </w:r>
      <w:proofErr w:type="spellStart"/>
      <w:r>
        <w:rPr>
          <w:rFonts w:ascii="Times New Roman" w:hAnsi="Times New Roman" w:cs="Times New Roman"/>
          <w:sz w:val="20"/>
          <w:szCs w:val="20"/>
          <w:lang w:val="en-US"/>
        </w:rPr>
        <w:t>Ajanovic</w:t>
      </w:r>
      <w:proofErr w:type="spellEnd"/>
      <w:r>
        <w:rPr>
          <w:rFonts w:ascii="Times New Roman" w:hAnsi="Times New Roman" w:cs="Times New Roman"/>
          <w:sz w:val="20"/>
          <w:szCs w:val="20"/>
          <w:lang w:val="en-US"/>
        </w:rPr>
        <w:t xml:space="preserve"> (2008). With the current </w:t>
      </w:r>
      <w:r w:rsidRPr="00430D5A">
        <w:rPr>
          <w:rFonts w:ascii="Times New Roman" w:hAnsi="Times New Roman" w:cs="Times New Roman"/>
          <w:sz w:val="20"/>
          <w:szCs w:val="20"/>
          <w:lang w:val="en-US"/>
        </w:rPr>
        <w:t>ambitious targets for increasing the share of renewable energy sources</w:t>
      </w:r>
      <w:r>
        <w:rPr>
          <w:rFonts w:ascii="Times New Roman" w:hAnsi="Times New Roman" w:cs="Times New Roman"/>
          <w:sz w:val="20"/>
          <w:szCs w:val="20"/>
          <w:lang w:val="en-US"/>
        </w:rPr>
        <w:t xml:space="preserve"> (RES)</w:t>
      </w:r>
      <w:r w:rsidRPr="00430D5A">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to 27% by 2030 set by the </w:t>
      </w:r>
      <w:r w:rsidR="00430D5A" w:rsidRPr="00430D5A">
        <w:rPr>
          <w:rFonts w:ascii="Times New Roman" w:hAnsi="Times New Roman" w:cs="Times New Roman"/>
          <w:sz w:val="20"/>
          <w:szCs w:val="20"/>
          <w:lang w:val="en-US"/>
        </w:rPr>
        <w:t xml:space="preserve">European Commission </w:t>
      </w:r>
      <w:r>
        <w:rPr>
          <w:rFonts w:ascii="Times New Roman" w:hAnsi="Times New Roman" w:cs="Times New Roman"/>
          <w:sz w:val="20"/>
          <w:szCs w:val="20"/>
          <w:lang w:val="en-US"/>
        </w:rPr>
        <w:t>new prospects for hydrogen emerge. The reason is that a</w:t>
      </w:r>
      <w:r w:rsidR="00430D5A" w:rsidRPr="00430D5A">
        <w:rPr>
          <w:rFonts w:ascii="Times New Roman" w:hAnsi="Times New Roman" w:cs="Times New Roman"/>
          <w:sz w:val="20"/>
          <w:szCs w:val="20"/>
          <w:lang w:val="en-US"/>
        </w:rPr>
        <w:t xml:space="preserve">n increasing share of these new RES comes from </w:t>
      </w:r>
      <w:r>
        <w:rPr>
          <w:rFonts w:ascii="Times New Roman" w:hAnsi="Times New Roman" w:cs="Times New Roman"/>
          <w:sz w:val="20"/>
          <w:szCs w:val="20"/>
          <w:lang w:val="en-US"/>
        </w:rPr>
        <w:t xml:space="preserve">variable </w:t>
      </w:r>
      <w:r w:rsidR="00430D5A" w:rsidRPr="00430D5A">
        <w:rPr>
          <w:rFonts w:ascii="Times New Roman" w:hAnsi="Times New Roman" w:cs="Times New Roman"/>
          <w:sz w:val="20"/>
          <w:szCs w:val="20"/>
          <w:lang w:val="en-US"/>
        </w:rPr>
        <w:t>sources like wind and solar.</w:t>
      </w: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 xml:space="preserve">This </w:t>
      </w:r>
      <w:r w:rsidRPr="00430D5A">
        <w:rPr>
          <w:rFonts w:ascii="Times New Roman" w:hAnsi="Times New Roman" w:cs="Times New Roman"/>
          <w:sz w:val="20"/>
          <w:szCs w:val="20"/>
          <w:lang w:val="en-US"/>
        </w:rPr>
        <w:t xml:space="preserve"> leads</w:t>
      </w:r>
      <w:proofErr w:type="gramEnd"/>
      <w:r w:rsidRPr="00430D5A">
        <w:rPr>
          <w:rFonts w:ascii="Times New Roman" w:hAnsi="Times New Roman" w:cs="Times New Roman"/>
          <w:sz w:val="20"/>
          <w:szCs w:val="20"/>
          <w:lang w:val="en-US"/>
        </w:rPr>
        <w:t xml:space="preserve"> to the need for increased balancing activities between supply and demand, see Fig. 1</w:t>
      </w:r>
      <w:r>
        <w:rPr>
          <w:rFonts w:ascii="Times New Roman" w:hAnsi="Times New Roman" w:cs="Times New Roman"/>
          <w:sz w:val="20"/>
          <w:szCs w:val="20"/>
          <w:lang w:val="en-US"/>
        </w:rPr>
        <w:t xml:space="preserve">, </w:t>
      </w:r>
      <w:r w:rsidRPr="00430D5A">
        <w:rPr>
          <w:rFonts w:ascii="Times New Roman" w:hAnsi="Times New Roman" w:cs="Times New Roman"/>
          <w:sz w:val="20"/>
          <w:szCs w:val="20"/>
          <w:lang w:val="en-US"/>
        </w:rPr>
        <w:t xml:space="preserve">including </w:t>
      </w:r>
      <w:r>
        <w:rPr>
          <w:rFonts w:ascii="Times New Roman" w:hAnsi="Times New Roman" w:cs="Times New Roman"/>
          <w:sz w:val="20"/>
          <w:szCs w:val="20"/>
          <w:lang w:val="en-US"/>
        </w:rPr>
        <w:t xml:space="preserve">the demand for </w:t>
      </w:r>
      <w:r w:rsidRPr="00430D5A">
        <w:rPr>
          <w:rFonts w:ascii="Times New Roman" w:hAnsi="Times New Roman" w:cs="Times New Roman"/>
          <w:sz w:val="20"/>
          <w:szCs w:val="20"/>
          <w:lang w:val="en-US"/>
        </w:rPr>
        <w:t>long-term electricity storage</w:t>
      </w:r>
      <w:r>
        <w:rPr>
          <w:rFonts w:ascii="Times New Roman" w:hAnsi="Times New Roman" w:cs="Times New Roman"/>
          <w:sz w:val="20"/>
          <w:szCs w:val="20"/>
          <w:lang w:val="en-US"/>
        </w:rPr>
        <w:t>s</w:t>
      </w:r>
      <w:r w:rsidRPr="00430D5A">
        <w:rPr>
          <w:rFonts w:ascii="Times New Roman" w:hAnsi="Times New Roman" w:cs="Times New Roman"/>
          <w:sz w:val="20"/>
          <w:szCs w:val="20"/>
          <w:lang w:val="en-US"/>
        </w:rPr>
        <w:t>.</w:t>
      </w:r>
    </w:p>
    <w:p w:rsidR="005B22C4" w:rsidRDefault="005B22C4" w:rsidP="006918B3">
      <w:pPr>
        <w:spacing w:after="0" w:line="240" w:lineRule="auto"/>
        <w:jc w:val="both"/>
        <w:rPr>
          <w:rFonts w:ascii="Times New Roman" w:hAnsi="Times New Roman" w:cs="Times New Roman"/>
          <w:sz w:val="20"/>
          <w:szCs w:val="20"/>
          <w:lang w:val="en-US"/>
        </w:rPr>
      </w:pPr>
    </w:p>
    <w:p w:rsidR="004E1ED5" w:rsidRPr="005259B7" w:rsidRDefault="004E1ED5" w:rsidP="006918B3">
      <w:pPr>
        <w:spacing w:after="0" w:line="240" w:lineRule="auto"/>
        <w:jc w:val="both"/>
        <w:rPr>
          <w:rFonts w:ascii="Times New Roman" w:hAnsi="Times New Roman" w:cs="Times New Roman"/>
          <w:sz w:val="20"/>
          <w:szCs w:val="20"/>
          <w:lang w:val="en-US"/>
        </w:rPr>
      </w:pPr>
      <w:r w:rsidRPr="005259B7">
        <w:rPr>
          <w:rFonts w:ascii="Times New Roman" w:hAnsi="Times New Roman" w:cs="Times New Roman"/>
          <w:sz w:val="20"/>
          <w:szCs w:val="20"/>
          <w:lang w:val="en-US"/>
        </w:rPr>
        <w:t xml:space="preserve">The core objective of this paper is to investigate the </w:t>
      </w:r>
      <w:r w:rsidR="005441AC">
        <w:rPr>
          <w:rFonts w:ascii="Times New Roman" w:hAnsi="Times New Roman" w:cs="Times New Roman"/>
          <w:sz w:val="20"/>
          <w:szCs w:val="20"/>
          <w:lang w:val="en-US"/>
        </w:rPr>
        <w:t xml:space="preserve">future </w:t>
      </w:r>
      <w:r w:rsidRPr="005259B7">
        <w:rPr>
          <w:rFonts w:ascii="Times New Roman" w:hAnsi="Times New Roman" w:cs="Times New Roman"/>
          <w:sz w:val="20"/>
          <w:szCs w:val="20"/>
          <w:lang w:val="en-US"/>
        </w:rPr>
        <w:t>market prospects of</w:t>
      </w:r>
      <w:r w:rsidR="00052BF7" w:rsidRPr="005259B7">
        <w:rPr>
          <w:rFonts w:ascii="Times New Roman" w:hAnsi="Times New Roman" w:cs="Times New Roman"/>
          <w:sz w:val="20"/>
          <w:szCs w:val="20"/>
          <w:lang w:val="en-US"/>
        </w:rPr>
        <w:t xml:space="preserve"> </w:t>
      </w:r>
      <w:r w:rsidRPr="005259B7">
        <w:rPr>
          <w:rFonts w:ascii="Times New Roman" w:hAnsi="Times New Roman" w:cs="Times New Roman"/>
          <w:sz w:val="20"/>
          <w:szCs w:val="20"/>
          <w:lang w:val="en-US"/>
        </w:rPr>
        <w:t>hydrogen</w:t>
      </w:r>
      <w:r w:rsidR="008B327D">
        <w:rPr>
          <w:rFonts w:ascii="Times New Roman" w:hAnsi="Times New Roman" w:cs="Times New Roman"/>
          <w:sz w:val="20"/>
          <w:szCs w:val="20"/>
          <w:lang w:val="en-US"/>
        </w:rPr>
        <w:t xml:space="preserve"> </w:t>
      </w:r>
      <w:r w:rsidR="00430D5A">
        <w:rPr>
          <w:rFonts w:ascii="Times New Roman" w:hAnsi="Times New Roman" w:cs="Times New Roman"/>
          <w:sz w:val="20"/>
          <w:szCs w:val="20"/>
          <w:lang w:val="en-US"/>
        </w:rPr>
        <w:t xml:space="preserve">as </w:t>
      </w:r>
      <w:proofErr w:type="gramStart"/>
      <w:r w:rsidR="00430D5A">
        <w:rPr>
          <w:rFonts w:ascii="Times New Roman" w:hAnsi="Times New Roman" w:cs="Times New Roman"/>
          <w:sz w:val="20"/>
          <w:szCs w:val="20"/>
          <w:lang w:val="en-US"/>
        </w:rPr>
        <w:t>a storage</w:t>
      </w:r>
      <w:proofErr w:type="gramEnd"/>
      <w:r w:rsidR="00430D5A">
        <w:rPr>
          <w:rFonts w:ascii="Times New Roman" w:hAnsi="Times New Roman" w:cs="Times New Roman"/>
          <w:sz w:val="20"/>
          <w:szCs w:val="20"/>
          <w:lang w:val="en-US"/>
        </w:rPr>
        <w:t xml:space="preserve"> for excess </w:t>
      </w:r>
      <w:r w:rsidR="00430D5A" w:rsidRPr="00430D5A">
        <w:rPr>
          <w:rFonts w:ascii="Times New Roman" w:hAnsi="Times New Roman" w:cs="Times New Roman"/>
          <w:sz w:val="20"/>
          <w:szCs w:val="20"/>
          <w:lang w:val="en-US"/>
        </w:rPr>
        <w:t>electricity</w:t>
      </w:r>
      <w:r w:rsidR="00430D5A">
        <w:rPr>
          <w:rFonts w:ascii="Times New Roman" w:hAnsi="Times New Roman" w:cs="Times New Roman"/>
          <w:sz w:val="20"/>
          <w:szCs w:val="20"/>
          <w:lang w:val="en-US"/>
        </w:rPr>
        <w:t xml:space="preserve"> </w:t>
      </w:r>
      <w:r w:rsidRPr="005259B7">
        <w:rPr>
          <w:rFonts w:ascii="Times New Roman" w:hAnsi="Times New Roman" w:cs="Times New Roman"/>
          <w:sz w:val="20"/>
          <w:szCs w:val="20"/>
          <w:lang w:val="en-US"/>
        </w:rPr>
        <w:t xml:space="preserve">and </w:t>
      </w:r>
      <w:r w:rsidR="00430D5A">
        <w:rPr>
          <w:rFonts w:ascii="Times New Roman" w:hAnsi="Times New Roman" w:cs="Times New Roman"/>
          <w:sz w:val="20"/>
          <w:szCs w:val="20"/>
          <w:lang w:val="en-US"/>
        </w:rPr>
        <w:t xml:space="preserve">its </w:t>
      </w:r>
      <w:r w:rsidR="004479C5">
        <w:rPr>
          <w:rFonts w:ascii="Times New Roman" w:hAnsi="Times New Roman" w:cs="Times New Roman"/>
          <w:sz w:val="20"/>
          <w:szCs w:val="20"/>
          <w:lang w:val="en-US"/>
        </w:rPr>
        <w:t xml:space="preserve">possible more competitive use </w:t>
      </w:r>
      <w:r w:rsidR="00430D5A">
        <w:rPr>
          <w:rFonts w:ascii="Times New Roman" w:hAnsi="Times New Roman" w:cs="Times New Roman"/>
          <w:sz w:val="20"/>
          <w:szCs w:val="20"/>
          <w:lang w:val="en-US"/>
        </w:rPr>
        <w:t>in the transport sector as a renewable fuel</w:t>
      </w:r>
      <w:r w:rsidR="005441AC">
        <w:rPr>
          <w:rFonts w:ascii="Times New Roman" w:hAnsi="Times New Roman" w:cs="Times New Roman"/>
          <w:sz w:val="20"/>
          <w:szCs w:val="20"/>
          <w:lang w:val="en-US"/>
        </w:rPr>
        <w:t xml:space="preserve">. </w:t>
      </w:r>
    </w:p>
    <w:p w:rsidR="00C62129" w:rsidRPr="00C63E59" w:rsidRDefault="00C62129" w:rsidP="00C63E59">
      <w:pPr>
        <w:spacing w:before="120" w:after="60"/>
        <w:rPr>
          <w:rFonts w:ascii="Arial" w:eastAsia="Times New Roman" w:hAnsi="Arial" w:cs="Arial"/>
          <w:b/>
          <w:spacing w:val="-3"/>
          <w:sz w:val="24"/>
          <w:szCs w:val="24"/>
          <w:lang w:val="en-US"/>
        </w:rPr>
      </w:pPr>
      <w:r w:rsidRPr="00C63E59">
        <w:rPr>
          <w:rFonts w:ascii="Arial" w:eastAsia="Times New Roman" w:hAnsi="Arial" w:cs="Arial"/>
          <w:b/>
          <w:spacing w:val="-3"/>
          <w:sz w:val="24"/>
          <w:szCs w:val="24"/>
          <w:lang w:val="en-US"/>
        </w:rPr>
        <w:t>Method</w:t>
      </w:r>
    </w:p>
    <w:p w:rsidR="00430D5A" w:rsidRDefault="00430D5A" w:rsidP="00430D5A">
      <w:pPr>
        <w:spacing w:after="0" w:line="240" w:lineRule="auto"/>
        <w:jc w:val="both"/>
        <w:rPr>
          <w:rFonts w:ascii="Times New Roman" w:hAnsi="Times New Roman" w:cs="Times New Roman"/>
          <w:sz w:val="20"/>
          <w:szCs w:val="20"/>
          <w:lang w:val="en-US"/>
        </w:rPr>
      </w:pPr>
      <w:r w:rsidRPr="00430D5A">
        <w:rPr>
          <w:rFonts w:ascii="Times New Roman" w:hAnsi="Times New Roman" w:cs="Times New Roman"/>
          <w:sz w:val="20"/>
          <w:szCs w:val="20"/>
          <w:lang w:val="en-US"/>
        </w:rPr>
        <w:t>Our method of approach is on the supply side based on technological learning for the future development of investment costs of long-term storage</w:t>
      </w:r>
      <w:r w:rsidR="00E67914">
        <w:rPr>
          <w:rFonts w:ascii="Times New Roman" w:hAnsi="Times New Roman" w:cs="Times New Roman"/>
          <w:sz w:val="20"/>
          <w:szCs w:val="20"/>
          <w:lang w:val="en-US"/>
        </w:rPr>
        <w:t xml:space="preserve"> options</w:t>
      </w:r>
      <w:r w:rsidRPr="00430D5A">
        <w:rPr>
          <w:rFonts w:ascii="Times New Roman" w:hAnsi="Times New Roman" w:cs="Times New Roman"/>
          <w:sz w:val="20"/>
          <w:szCs w:val="20"/>
          <w:lang w:val="en-US"/>
        </w:rPr>
        <w:t xml:space="preserve"> based on </w:t>
      </w:r>
      <w:r w:rsidR="00C63E59">
        <w:rPr>
          <w:rFonts w:ascii="Times New Roman" w:hAnsi="Times New Roman" w:cs="Times New Roman"/>
          <w:sz w:val="20"/>
          <w:szCs w:val="20"/>
          <w:lang w:val="en-US"/>
        </w:rPr>
        <w:t xml:space="preserve">expected future </w:t>
      </w:r>
      <w:r w:rsidRPr="00430D5A">
        <w:rPr>
          <w:rFonts w:ascii="Times New Roman" w:hAnsi="Times New Roman" w:cs="Times New Roman"/>
          <w:sz w:val="20"/>
          <w:szCs w:val="20"/>
          <w:lang w:val="en-US"/>
        </w:rPr>
        <w:t xml:space="preserve">quantities for technologies described in IEA (2011). On the electricity market side we use a fundamental approach where the intersection of supply and demand at every point-of-time gives the corresponding electricity market price. It is important to note that the quantity of storage has a feedback on the market price for charging storages as well as discharging. </w:t>
      </w:r>
    </w:p>
    <w:p w:rsidR="005B22C4" w:rsidRPr="00430D5A" w:rsidRDefault="005B22C4" w:rsidP="00430D5A">
      <w:pPr>
        <w:spacing w:after="0" w:line="240" w:lineRule="auto"/>
        <w:jc w:val="both"/>
        <w:rPr>
          <w:rFonts w:ascii="Times New Roman" w:hAnsi="Times New Roman" w:cs="Times New Roman"/>
          <w:sz w:val="20"/>
          <w:szCs w:val="20"/>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3"/>
        <w:gridCol w:w="5767"/>
      </w:tblGrid>
      <w:tr w:rsidR="00430D5A" w:rsidRPr="00FF5B67" w:rsidTr="00430D5A">
        <w:trPr>
          <w:trHeight w:val="3692"/>
        </w:trPr>
        <w:tc>
          <w:tcPr>
            <w:tcW w:w="4973" w:type="dxa"/>
            <w:shd w:val="clear" w:color="auto" w:fill="auto"/>
          </w:tcPr>
          <w:p w:rsidR="00430D5A" w:rsidRPr="00FF5B67" w:rsidRDefault="00430D5A" w:rsidP="0062316B">
            <w:pPr>
              <w:tabs>
                <w:tab w:val="left" w:pos="-1134"/>
                <w:tab w:val="left" w:pos="-414"/>
              </w:tabs>
              <w:suppressAutoHyphens/>
              <w:rPr>
                <w:spacing w:val="-3"/>
              </w:rPr>
            </w:pPr>
            <w:r>
              <w:rPr>
                <w:noProof/>
                <w:spacing w:val="-3"/>
                <w:lang w:eastAsia="de-AT"/>
              </w:rPr>
              <w:drawing>
                <wp:inline distT="0" distB="0" distL="0" distR="0" wp14:anchorId="3D6BA112" wp14:editId="650F08ED">
                  <wp:extent cx="3316674" cy="221841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6920" cy="2218578"/>
                          </a:xfrm>
                          <a:prstGeom prst="rect">
                            <a:avLst/>
                          </a:prstGeom>
                          <a:noFill/>
                        </pic:spPr>
                      </pic:pic>
                    </a:graphicData>
                  </a:graphic>
                </wp:inline>
              </w:drawing>
            </w:r>
          </w:p>
        </w:tc>
        <w:tc>
          <w:tcPr>
            <w:tcW w:w="5767" w:type="dxa"/>
            <w:shd w:val="clear" w:color="auto" w:fill="auto"/>
          </w:tcPr>
          <w:p w:rsidR="00430D5A" w:rsidRDefault="00430D5A" w:rsidP="0062316B">
            <w:pPr>
              <w:tabs>
                <w:tab w:val="left" w:pos="-1134"/>
                <w:tab w:val="left" w:pos="-414"/>
              </w:tabs>
              <w:suppressAutoHyphens/>
              <w:rPr>
                <w:noProof/>
                <w:spacing w:val="-3"/>
                <w:lang w:eastAsia="de-AT"/>
              </w:rPr>
            </w:pPr>
          </w:p>
          <w:p w:rsidR="00E67914" w:rsidRPr="00FF5B67" w:rsidRDefault="00E67914" w:rsidP="0062316B">
            <w:pPr>
              <w:tabs>
                <w:tab w:val="left" w:pos="-1134"/>
                <w:tab w:val="left" w:pos="-414"/>
              </w:tabs>
              <w:suppressAutoHyphens/>
              <w:rPr>
                <w:spacing w:val="-3"/>
              </w:rPr>
            </w:pPr>
            <w:r>
              <w:rPr>
                <w:noProof/>
                <w:spacing w:val="-3"/>
                <w:lang w:eastAsia="de-AT"/>
              </w:rPr>
              <w:drawing>
                <wp:inline distT="0" distB="0" distL="0" distR="0" wp14:anchorId="5D3EA6AE">
                  <wp:extent cx="3529965" cy="1615440"/>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9965" cy="1615440"/>
                          </a:xfrm>
                          <a:prstGeom prst="rect">
                            <a:avLst/>
                          </a:prstGeom>
                          <a:noFill/>
                        </pic:spPr>
                      </pic:pic>
                    </a:graphicData>
                  </a:graphic>
                </wp:inline>
              </w:drawing>
            </w:r>
          </w:p>
        </w:tc>
      </w:tr>
      <w:tr w:rsidR="00430D5A" w:rsidRPr="00E67914" w:rsidTr="00430D5A">
        <w:trPr>
          <w:trHeight w:val="639"/>
        </w:trPr>
        <w:tc>
          <w:tcPr>
            <w:tcW w:w="4973" w:type="dxa"/>
            <w:shd w:val="clear" w:color="auto" w:fill="auto"/>
          </w:tcPr>
          <w:p w:rsidR="00430D5A" w:rsidRPr="00F25AA2" w:rsidRDefault="00430D5A" w:rsidP="0062316B">
            <w:pPr>
              <w:tabs>
                <w:tab w:val="left" w:pos="-1134"/>
                <w:tab w:val="left" w:pos="-414"/>
              </w:tabs>
              <w:suppressAutoHyphens/>
              <w:spacing w:before="60" w:after="60"/>
              <w:rPr>
                <w:rFonts w:ascii="Times New Roman" w:hAnsi="Times New Roman" w:cs="Times New Roman"/>
                <w:sz w:val="20"/>
                <w:szCs w:val="20"/>
                <w:lang w:val="en-US"/>
              </w:rPr>
            </w:pPr>
            <w:r w:rsidRPr="00F25AA2">
              <w:rPr>
                <w:rFonts w:ascii="Times New Roman" w:hAnsi="Times New Roman" w:cs="Times New Roman"/>
                <w:b/>
                <w:bCs/>
                <w:sz w:val="20"/>
                <w:szCs w:val="20"/>
                <w:lang w:val="en-US"/>
              </w:rPr>
              <w:t xml:space="preserve">Figure 1. </w:t>
            </w:r>
            <w:r w:rsidRPr="00F25AA2">
              <w:rPr>
                <w:rFonts w:ascii="Times New Roman" w:hAnsi="Times New Roman" w:cs="Times New Roman"/>
                <w:bCs/>
                <w:sz w:val="20"/>
                <w:szCs w:val="20"/>
                <w:lang w:val="en-US"/>
              </w:rPr>
              <w:t>Development of</w:t>
            </w:r>
            <w:r w:rsidRPr="00F25AA2">
              <w:rPr>
                <w:rFonts w:ascii="Times New Roman" w:hAnsi="Times New Roman" w:cs="Times New Roman"/>
                <w:sz w:val="20"/>
                <w:szCs w:val="20"/>
                <w:lang w:val="en-US"/>
              </w:rPr>
              <w:t xml:space="preserve"> intermittent</w:t>
            </w:r>
            <w:r w:rsidRPr="00F25AA2">
              <w:rPr>
                <w:rFonts w:ascii="Times New Roman" w:hAnsi="Times New Roman" w:cs="Times New Roman"/>
                <w:bCs/>
                <w:sz w:val="20"/>
                <w:szCs w:val="20"/>
                <w:lang w:val="en-US"/>
              </w:rPr>
              <w:t xml:space="preserve"> RES-E over a week in comparison to demand </w:t>
            </w:r>
          </w:p>
        </w:tc>
        <w:tc>
          <w:tcPr>
            <w:tcW w:w="5767" w:type="dxa"/>
            <w:shd w:val="clear" w:color="auto" w:fill="auto"/>
          </w:tcPr>
          <w:p w:rsidR="00430D5A" w:rsidRPr="00F25AA2" w:rsidRDefault="00E67914" w:rsidP="00E67914">
            <w:pPr>
              <w:tabs>
                <w:tab w:val="left" w:pos="-1134"/>
                <w:tab w:val="left" w:pos="-414"/>
              </w:tabs>
              <w:suppressAutoHyphens/>
              <w:spacing w:before="60" w:after="60"/>
              <w:rPr>
                <w:rFonts w:ascii="Times New Roman" w:hAnsi="Times New Roman" w:cs="Times New Roman"/>
                <w:sz w:val="20"/>
                <w:szCs w:val="20"/>
                <w:lang w:val="en-US"/>
              </w:rPr>
            </w:pPr>
            <w:r w:rsidRPr="00E67914">
              <w:rPr>
                <w:rFonts w:ascii="Times New Roman" w:hAnsi="Times New Roman" w:cs="Times New Roman"/>
                <w:b/>
                <w:sz w:val="20"/>
                <w:szCs w:val="20"/>
                <w:lang w:val="en-US"/>
              </w:rPr>
              <w:t xml:space="preserve">Figure </w:t>
            </w:r>
            <w:r>
              <w:rPr>
                <w:rFonts w:ascii="Times New Roman" w:hAnsi="Times New Roman" w:cs="Times New Roman"/>
                <w:b/>
                <w:sz w:val="20"/>
                <w:szCs w:val="20"/>
                <w:lang w:val="en-US"/>
              </w:rPr>
              <w:t>2</w:t>
            </w:r>
            <w:r w:rsidRPr="00E67914">
              <w:rPr>
                <w:rFonts w:ascii="Times New Roman" w:hAnsi="Times New Roman" w:cs="Times New Roman"/>
                <w:sz w:val="20"/>
                <w:szCs w:val="20"/>
                <w:lang w:val="en-US"/>
              </w:rPr>
              <w:t xml:space="preserve">. Energy supply chains with hydrogen as a storage for electricity and as a fuel </w:t>
            </w:r>
            <w:r>
              <w:rPr>
                <w:rFonts w:ascii="Times New Roman" w:hAnsi="Times New Roman" w:cs="Times New Roman"/>
                <w:sz w:val="20"/>
                <w:szCs w:val="20"/>
                <w:lang w:val="en-US"/>
              </w:rPr>
              <w:t>from</w:t>
            </w:r>
            <w:r w:rsidRPr="00E67914">
              <w:rPr>
                <w:rFonts w:ascii="Times New Roman" w:hAnsi="Times New Roman" w:cs="Times New Roman"/>
                <w:sz w:val="20"/>
                <w:szCs w:val="20"/>
                <w:lang w:val="en-US"/>
              </w:rPr>
              <w:t xml:space="preserve"> RES for mobility</w:t>
            </w:r>
          </w:p>
        </w:tc>
      </w:tr>
    </w:tbl>
    <w:p w:rsidR="005B22C4" w:rsidRDefault="005B22C4" w:rsidP="00C63E59">
      <w:pPr>
        <w:spacing w:before="120" w:after="60"/>
        <w:rPr>
          <w:rFonts w:ascii="Arial" w:eastAsia="Times New Roman" w:hAnsi="Arial" w:cs="Arial"/>
          <w:b/>
          <w:spacing w:val="-3"/>
          <w:sz w:val="24"/>
          <w:szCs w:val="24"/>
          <w:lang w:val="en-US"/>
        </w:rPr>
      </w:pPr>
    </w:p>
    <w:p w:rsidR="00430D5A" w:rsidRPr="00F25AA2" w:rsidRDefault="00430D5A" w:rsidP="00C63E59">
      <w:pPr>
        <w:spacing w:before="120" w:after="60"/>
        <w:rPr>
          <w:rFonts w:ascii="Arial" w:eastAsia="Times New Roman" w:hAnsi="Arial" w:cs="Arial"/>
          <w:b/>
          <w:spacing w:val="-3"/>
          <w:sz w:val="24"/>
          <w:szCs w:val="24"/>
          <w:lang w:val="en-US"/>
        </w:rPr>
      </w:pPr>
      <w:r w:rsidRPr="00F25AA2">
        <w:rPr>
          <w:rFonts w:ascii="Arial" w:eastAsia="Times New Roman" w:hAnsi="Arial" w:cs="Arial"/>
          <w:b/>
          <w:spacing w:val="-3"/>
          <w:sz w:val="24"/>
          <w:szCs w:val="24"/>
          <w:lang w:val="en-US"/>
        </w:rPr>
        <w:t>Results</w:t>
      </w:r>
    </w:p>
    <w:p w:rsidR="00430D5A" w:rsidRPr="00F25AA2" w:rsidRDefault="00430D5A" w:rsidP="00430D5A">
      <w:pPr>
        <w:spacing w:after="0" w:line="240" w:lineRule="auto"/>
        <w:jc w:val="both"/>
        <w:rPr>
          <w:rFonts w:ascii="Times New Roman" w:eastAsia="Times New Roman" w:hAnsi="Times New Roman" w:cs="Times New Roman"/>
          <w:spacing w:val="-3"/>
          <w:sz w:val="20"/>
          <w:szCs w:val="20"/>
          <w:lang w:val="en-US"/>
        </w:rPr>
      </w:pPr>
      <w:r w:rsidRPr="00F25AA2">
        <w:rPr>
          <w:rFonts w:ascii="Times New Roman" w:hAnsi="Times New Roman" w:cs="Times New Roman"/>
          <w:spacing w:val="-3"/>
          <w:sz w:val="20"/>
          <w:szCs w:val="20"/>
          <w:lang w:val="en-US"/>
        </w:rPr>
        <w:t xml:space="preserve">The major results of our </w:t>
      </w:r>
      <w:r w:rsidR="00C63E59">
        <w:rPr>
          <w:rFonts w:ascii="Times New Roman" w:hAnsi="Times New Roman" w:cs="Times New Roman"/>
          <w:spacing w:val="-3"/>
          <w:sz w:val="20"/>
          <w:szCs w:val="20"/>
          <w:lang w:val="en-US"/>
        </w:rPr>
        <w:t>i</w:t>
      </w:r>
      <w:r w:rsidRPr="00F25AA2">
        <w:rPr>
          <w:rFonts w:ascii="Times New Roman" w:hAnsi="Times New Roman" w:cs="Times New Roman"/>
          <w:spacing w:val="-3"/>
          <w:sz w:val="20"/>
          <w:szCs w:val="20"/>
          <w:lang w:val="en-US"/>
        </w:rPr>
        <w:t xml:space="preserve">nvestigations are: </w:t>
      </w:r>
      <w:r w:rsidR="00C63E59" w:rsidRPr="00C63E59">
        <w:rPr>
          <w:rFonts w:ascii="Times New Roman" w:hAnsi="Times New Roman" w:cs="Times New Roman"/>
          <w:spacing w:val="-3"/>
          <w:sz w:val="20"/>
          <w:szCs w:val="20"/>
          <w:lang w:val="en-US"/>
        </w:rPr>
        <w:t xml:space="preserve">As shown in Fig. </w:t>
      </w:r>
      <w:r w:rsidR="00E67914">
        <w:rPr>
          <w:rFonts w:ascii="Times New Roman" w:hAnsi="Times New Roman" w:cs="Times New Roman"/>
          <w:spacing w:val="-3"/>
          <w:sz w:val="20"/>
          <w:szCs w:val="20"/>
          <w:lang w:val="en-US"/>
        </w:rPr>
        <w:t>2</w:t>
      </w:r>
      <w:r w:rsidR="00C63E59" w:rsidRPr="00C63E59">
        <w:rPr>
          <w:rFonts w:ascii="Times New Roman" w:hAnsi="Times New Roman" w:cs="Times New Roman"/>
          <w:spacing w:val="-3"/>
          <w:sz w:val="20"/>
          <w:szCs w:val="20"/>
          <w:lang w:val="en-US"/>
        </w:rPr>
        <w:t xml:space="preserve"> hydrogen can be used as storage for electricity from volatile RES, however the efficiency of the whole energy supply chain including re-electrification of hydrogen is very low. </w:t>
      </w:r>
      <w:r w:rsidR="00C63E59">
        <w:rPr>
          <w:rFonts w:ascii="Times New Roman" w:hAnsi="Times New Roman" w:cs="Times New Roman"/>
          <w:spacing w:val="-3"/>
          <w:sz w:val="20"/>
          <w:szCs w:val="20"/>
          <w:lang w:val="en-US"/>
        </w:rPr>
        <w:t>However, o</w:t>
      </w:r>
      <w:r w:rsidRPr="00F25AA2">
        <w:rPr>
          <w:rFonts w:ascii="Times New Roman" w:hAnsi="Times New Roman" w:cs="Times New Roman"/>
          <w:spacing w:val="-3"/>
          <w:sz w:val="20"/>
          <w:szCs w:val="20"/>
          <w:lang w:val="en-US"/>
        </w:rPr>
        <w:t xml:space="preserve">ver the period up to 2050 decreases in the </w:t>
      </w:r>
      <w:r w:rsidR="00C63E59">
        <w:rPr>
          <w:rFonts w:ascii="Times New Roman" w:hAnsi="Times New Roman" w:cs="Times New Roman"/>
          <w:spacing w:val="-3"/>
          <w:sz w:val="20"/>
          <w:szCs w:val="20"/>
          <w:lang w:val="en-US"/>
        </w:rPr>
        <w:t xml:space="preserve">costs of hydrogen production </w:t>
      </w:r>
      <w:r w:rsidRPr="00F25AA2">
        <w:rPr>
          <w:rFonts w:ascii="Times New Roman" w:eastAsia="Times New Roman" w:hAnsi="Times New Roman" w:cs="Times New Roman"/>
          <w:spacing w:val="-3"/>
          <w:sz w:val="20"/>
          <w:szCs w:val="20"/>
          <w:lang w:val="en-US"/>
        </w:rPr>
        <w:t xml:space="preserve">will take place </w:t>
      </w:r>
      <w:r w:rsidRPr="00F25AA2">
        <w:rPr>
          <w:rFonts w:ascii="Times New Roman" w:hAnsi="Times New Roman" w:cs="Times New Roman"/>
          <w:spacing w:val="-3"/>
          <w:sz w:val="20"/>
          <w:szCs w:val="20"/>
          <w:lang w:val="en-US"/>
        </w:rPr>
        <w:t xml:space="preserve">mainly due to learning effects. In a dynamic market framework the costs of </w:t>
      </w:r>
      <w:r w:rsidR="00C63E59">
        <w:rPr>
          <w:rFonts w:ascii="Times New Roman" w:hAnsi="Times New Roman" w:cs="Times New Roman"/>
          <w:spacing w:val="-3"/>
          <w:sz w:val="20"/>
          <w:szCs w:val="20"/>
          <w:lang w:val="en-US"/>
        </w:rPr>
        <w:t xml:space="preserve">large centralized and smaller decentralized </w:t>
      </w:r>
      <w:r w:rsidRPr="00F25AA2">
        <w:rPr>
          <w:rFonts w:ascii="Times New Roman" w:hAnsi="Times New Roman" w:cs="Times New Roman"/>
          <w:spacing w:val="-3"/>
          <w:sz w:val="20"/>
          <w:szCs w:val="20"/>
          <w:lang w:val="en-US"/>
        </w:rPr>
        <w:t>long-term</w:t>
      </w:r>
      <w:r w:rsidR="00C63E59">
        <w:rPr>
          <w:rFonts w:ascii="Times New Roman" w:hAnsi="Times New Roman" w:cs="Times New Roman"/>
          <w:spacing w:val="-3"/>
          <w:sz w:val="20"/>
          <w:szCs w:val="20"/>
          <w:lang w:val="en-US"/>
        </w:rPr>
        <w:t xml:space="preserve"> hydrogen</w:t>
      </w:r>
      <w:r w:rsidRPr="00F25AA2">
        <w:rPr>
          <w:rFonts w:ascii="Times New Roman" w:hAnsi="Times New Roman" w:cs="Times New Roman"/>
          <w:spacing w:val="-3"/>
          <w:sz w:val="20"/>
          <w:szCs w:val="20"/>
          <w:lang w:val="en-US"/>
        </w:rPr>
        <w:t xml:space="preserve"> storage </w:t>
      </w:r>
      <w:r w:rsidRPr="00F25AA2">
        <w:rPr>
          <w:rFonts w:ascii="Times New Roman" w:eastAsia="Times New Roman" w:hAnsi="Times New Roman" w:cs="Times New Roman"/>
          <w:spacing w:val="-3"/>
          <w:sz w:val="20"/>
          <w:szCs w:val="20"/>
          <w:lang w:val="en-US"/>
        </w:rPr>
        <w:t xml:space="preserve">will finally be too high to </w:t>
      </w:r>
      <w:r w:rsidRPr="00C63E59">
        <w:rPr>
          <w:rFonts w:ascii="Times New Roman" w:hAnsi="Times New Roman" w:cs="Times New Roman"/>
          <w:spacing w:val="-3"/>
          <w:sz w:val="20"/>
          <w:szCs w:val="20"/>
          <w:lang w:val="en-US"/>
        </w:rPr>
        <w:t>become competitive</w:t>
      </w:r>
      <w:r w:rsidR="00C63E59" w:rsidRPr="00C63E59">
        <w:rPr>
          <w:rFonts w:ascii="Times New Roman" w:hAnsi="Times New Roman" w:cs="Times New Roman"/>
          <w:spacing w:val="-3"/>
          <w:sz w:val="20"/>
          <w:szCs w:val="20"/>
          <w:lang w:val="en-US"/>
        </w:rPr>
        <w:t xml:space="preserve"> in the electricity sector</w:t>
      </w:r>
      <w:r w:rsidR="00C63E59">
        <w:rPr>
          <w:rFonts w:ascii="Times New Roman" w:eastAsia="Times New Roman" w:hAnsi="Times New Roman" w:cs="Times New Roman"/>
          <w:spacing w:val="-3"/>
          <w:sz w:val="20"/>
          <w:szCs w:val="20"/>
          <w:lang w:val="en-US"/>
        </w:rPr>
        <w:t xml:space="preserve"> alone</w:t>
      </w:r>
      <w:r w:rsidRPr="00F25AA2">
        <w:rPr>
          <w:rFonts w:ascii="Times New Roman" w:eastAsia="Times New Roman" w:hAnsi="Times New Roman" w:cs="Times New Roman"/>
          <w:spacing w:val="-3"/>
          <w:sz w:val="20"/>
          <w:szCs w:val="20"/>
          <w:lang w:val="en-US"/>
        </w:rPr>
        <w:t xml:space="preserve">. By 2030 under most </w:t>
      </w:r>
      <w:r w:rsidR="00E67914" w:rsidRPr="00F25AA2">
        <w:rPr>
          <w:rFonts w:ascii="Times New Roman" w:eastAsia="Times New Roman" w:hAnsi="Times New Roman" w:cs="Times New Roman"/>
          <w:spacing w:val="-3"/>
          <w:sz w:val="20"/>
          <w:szCs w:val="20"/>
          <w:lang w:val="en-US"/>
        </w:rPr>
        <w:t>favorable</w:t>
      </w:r>
      <w:r w:rsidRPr="00F25AA2">
        <w:rPr>
          <w:rFonts w:ascii="Times New Roman" w:eastAsia="Times New Roman" w:hAnsi="Times New Roman" w:cs="Times New Roman"/>
          <w:spacing w:val="-3"/>
          <w:sz w:val="20"/>
          <w:szCs w:val="20"/>
          <w:lang w:val="en-US"/>
        </w:rPr>
        <w:t xml:space="preserve"> learning conditions the costs of hydrogen for 2000 full</w:t>
      </w:r>
      <w:r w:rsidR="00E67914">
        <w:rPr>
          <w:rFonts w:ascii="Times New Roman" w:eastAsia="Times New Roman" w:hAnsi="Times New Roman" w:cs="Times New Roman"/>
          <w:spacing w:val="-3"/>
          <w:sz w:val="20"/>
          <w:szCs w:val="20"/>
          <w:lang w:val="en-US"/>
        </w:rPr>
        <w:t>-l</w:t>
      </w:r>
      <w:r w:rsidRPr="00F25AA2">
        <w:rPr>
          <w:rFonts w:ascii="Times New Roman" w:eastAsia="Times New Roman" w:hAnsi="Times New Roman" w:cs="Times New Roman"/>
          <w:spacing w:val="-3"/>
          <w:sz w:val="20"/>
          <w:szCs w:val="20"/>
          <w:lang w:val="en-US"/>
        </w:rPr>
        <w:t>oad</w:t>
      </w:r>
      <w:r w:rsidR="00E67914">
        <w:rPr>
          <w:rFonts w:ascii="Times New Roman" w:eastAsia="Times New Roman" w:hAnsi="Times New Roman" w:cs="Times New Roman"/>
          <w:spacing w:val="-3"/>
          <w:sz w:val="20"/>
          <w:szCs w:val="20"/>
          <w:lang w:val="en-US"/>
        </w:rPr>
        <w:t>-</w:t>
      </w:r>
      <w:r w:rsidRPr="00F25AA2">
        <w:rPr>
          <w:rFonts w:ascii="Times New Roman" w:eastAsia="Times New Roman" w:hAnsi="Times New Roman" w:cs="Times New Roman"/>
          <w:spacing w:val="-3"/>
          <w:sz w:val="20"/>
          <w:szCs w:val="20"/>
          <w:lang w:val="en-US"/>
        </w:rPr>
        <w:t>hours per year will be between 0.1</w:t>
      </w:r>
      <w:r w:rsidR="00C63E59">
        <w:rPr>
          <w:rFonts w:ascii="Times New Roman" w:eastAsia="Times New Roman" w:hAnsi="Times New Roman" w:cs="Times New Roman"/>
          <w:spacing w:val="-3"/>
          <w:sz w:val="20"/>
          <w:szCs w:val="20"/>
          <w:lang w:val="en-US"/>
        </w:rPr>
        <w:t>6</w:t>
      </w:r>
      <w:r w:rsidRPr="00F25AA2">
        <w:rPr>
          <w:rFonts w:ascii="Times New Roman" w:eastAsia="Times New Roman" w:hAnsi="Times New Roman" w:cs="Times New Roman"/>
          <w:spacing w:val="-3"/>
          <w:sz w:val="20"/>
          <w:szCs w:val="20"/>
          <w:lang w:val="en-US"/>
        </w:rPr>
        <w:t xml:space="preserve"> EUR/kWh and 0.</w:t>
      </w:r>
      <w:r w:rsidR="00C63E59">
        <w:rPr>
          <w:rFonts w:ascii="Times New Roman" w:eastAsia="Times New Roman" w:hAnsi="Times New Roman" w:cs="Times New Roman"/>
          <w:spacing w:val="-3"/>
          <w:sz w:val="20"/>
          <w:szCs w:val="20"/>
          <w:lang w:val="en-US"/>
        </w:rPr>
        <w:t>18</w:t>
      </w:r>
      <w:r w:rsidRPr="00F25AA2">
        <w:rPr>
          <w:rFonts w:ascii="Times New Roman" w:eastAsia="Times New Roman" w:hAnsi="Times New Roman" w:cs="Times New Roman"/>
          <w:spacing w:val="-3"/>
          <w:sz w:val="20"/>
          <w:szCs w:val="20"/>
          <w:lang w:val="en-US"/>
        </w:rPr>
        <w:t xml:space="preserve"> EUR/kWh</w:t>
      </w:r>
      <w:r>
        <w:rPr>
          <w:rFonts w:ascii="Times New Roman" w:eastAsia="Times New Roman" w:hAnsi="Times New Roman" w:cs="Times New Roman"/>
          <w:spacing w:val="-3"/>
          <w:sz w:val="20"/>
          <w:szCs w:val="20"/>
          <w:lang w:val="en-US"/>
        </w:rPr>
        <w:t xml:space="preserve">, see Fig. </w:t>
      </w:r>
      <w:r w:rsidR="00E67914">
        <w:rPr>
          <w:rFonts w:ascii="Times New Roman" w:eastAsia="Times New Roman" w:hAnsi="Times New Roman" w:cs="Times New Roman"/>
          <w:spacing w:val="-3"/>
          <w:sz w:val="20"/>
          <w:szCs w:val="20"/>
          <w:lang w:val="en-US"/>
        </w:rPr>
        <w:t>3</w:t>
      </w:r>
      <w:r w:rsidRPr="00F25AA2">
        <w:rPr>
          <w:rFonts w:ascii="Times New Roman" w:eastAsia="Times New Roman" w:hAnsi="Times New Roman" w:cs="Times New Roman"/>
          <w:spacing w:val="-3"/>
          <w:sz w:val="20"/>
          <w:szCs w:val="20"/>
          <w:lang w:val="en-US"/>
        </w:rPr>
        <w:t>. For the same ful</w:t>
      </w:r>
      <w:r w:rsidR="00E67914">
        <w:rPr>
          <w:rFonts w:ascii="Times New Roman" w:eastAsia="Times New Roman" w:hAnsi="Times New Roman" w:cs="Times New Roman"/>
          <w:spacing w:val="-3"/>
          <w:sz w:val="20"/>
          <w:szCs w:val="20"/>
          <w:lang w:val="en-US"/>
        </w:rPr>
        <w:t>l-</w:t>
      </w:r>
      <w:r w:rsidRPr="00F25AA2">
        <w:rPr>
          <w:rFonts w:ascii="Times New Roman" w:eastAsia="Times New Roman" w:hAnsi="Times New Roman" w:cs="Times New Roman"/>
          <w:spacing w:val="-3"/>
          <w:sz w:val="20"/>
          <w:szCs w:val="20"/>
          <w:lang w:val="en-US"/>
        </w:rPr>
        <w:t>load</w:t>
      </w:r>
      <w:r w:rsidR="00E67914">
        <w:rPr>
          <w:rFonts w:ascii="Times New Roman" w:eastAsia="Times New Roman" w:hAnsi="Times New Roman" w:cs="Times New Roman"/>
          <w:spacing w:val="-3"/>
          <w:sz w:val="20"/>
          <w:szCs w:val="20"/>
          <w:lang w:val="en-US"/>
        </w:rPr>
        <w:t>-</w:t>
      </w:r>
      <w:r w:rsidR="00E67914" w:rsidRPr="00F25AA2">
        <w:rPr>
          <w:rFonts w:ascii="Times New Roman" w:eastAsia="Times New Roman" w:hAnsi="Times New Roman" w:cs="Times New Roman"/>
          <w:spacing w:val="-3"/>
          <w:sz w:val="20"/>
          <w:szCs w:val="20"/>
          <w:lang w:val="en-US"/>
        </w:rPr>
        <w:t>hours the</w:t>
      </w:r>
      <w:r w:rsidRPr="00F25AA2">
        <w:rPr>
          <w:rFonts w:ascii="Times New Roman" w:eastAsia="Times New Roman" w:hAnsi="Times New Roman" w:cs="Times New Roman"/>
          <w:spacing w:val="-3"/>
          <w:sz w:val="20"/>
          <w:szCs w:val="20"/>
          <w:lang w:val="en-US"/>
        </w:rPr>
        <w:t xml:space="preserve"> price spread will be at the utmost about 0.08 EUR/kWh. </w:t>
      </w:r>
      <w:r w:rsidR="00C63E59" w:rsidRPr="00F25AA2">
        <w:rPr>
          <w:rFonts w:ascii="Times New Roman" w:hAnsi="Times New Roman" w:cs="Times New Roman"/>
          <w:spacing w:val="-3"/>
          <w:sz w:val="20"/>
          <w:szCs w:val="20"/>
          <w:lang w:val="en-US"/>
        </w:rPr>
        <w:t>For hydro pump storages (</w:t>
      </w:r>
      <w:r w:rsidR="00E67914" w:rsidRPr="00F25AA2">
        <w:rPr>
          <w:rFonts w:ascii="Times New Roman" w:hAnsi="Times New Roman" w:cs="Times New Roman"/>
          <w:spacing w:val="-3"/>
          <w:sz w:val="20"/>
          <w:szCs w:val="20"/>
          <w:lang w:val="en-US"/>
        </w:rPr>
        <w:t>over a</w:t>
      </w:r>
      <w:r w:rsidR="00C63E59" w:rsidRPr="00F25AA2">
        <w:rPr>
          <w:rFonts w:ascii="Times New Roman" w:hAnsi="Times New Roman" w:cs="Times New Roman"/>
          <w:spacing w:val="-3"/>
          <w:sz w:val="20"/>
          <w:szCs w:val="20"/>
          <w:lang w:val="en-US"/>
        </w:rPr>
        <w:t xml:space="preserve"> year) further prices will rather increase mainly due to a lack of sites with reasonable costs and lack of acceptance</w:t>
      </w:r>
      <w:r w:rsidR="00C63E59">
        <w:rPr>
          <w:rFonts w:ascii="Times New Roman" w:hAnsi="Times New Roman" w:cs="Times New Roman"/>
          <w:spacing w:val="-3"/>
          <w:sz w:val="20"/>
          <w:szCs w:val="20"/>
          <w:lang w:val="en-US"/>
        </w:rPr>
        <w:t>.</w:t>
      </w:r>
      <w:r w:rsidR="00C63E59" w:rsidRPr="00F25AA2">
        <w:rPr>
          <w:rFonts w:ascii="Times New Roman" w:hAnsi="Times New Roman" w:cs="Times New Roman"/>
          <w:spacing w:val="-3"/>
          <w:sz w:val="20"/>
          <w:szCs w:val="20"/>
          <w:lang w:val="en-US"/>
        </w:rPr>
        <w:t xml:space="preserve"> </w:t>
      </w:r>
      <w:r w:rsidRPr="00F25AA2">
        <w:rPr>
          <w:rFonts w:ascii="Times New Roman" w:eastAsia="Times New Roman" w:hAnsi="Times New Roman" w:cs="Times New Roman"/>
          <w:spacing w:val="-3"/>
          <w:sz w:val="20"/>
          <w:szCs w:val="20"/>
          <w:lang w:val="en-US"/>
        </w:rPr>
        <w:t xml:space="preserve">An additional reason for the unfavorable economic conditions </w:t>
      </w:r>
      <w:r w:rsidR="00E67914" w:rsidRPr="00F25AA2">
        <w:rPr>
          <w:rFonts w:ascii="Times New Roman" w:eastAsia="Times New Roman" w:hAnsi="Times New Roman" w:cs="Times New Roman"/>
          <w:spacing w:val="-3"/>
          <w:sz w:val="20"/>
          <w:szCs w:val="20"/>
          <w:lang w:val="en-US"/>
        </w:rPr>
        <w:t>of long</w:t>
      </w:r>
      <w:r w:rsidRPr="00F25AA2">
        <w:rPr>
          <w:rFonts w:ascii="Times New Roman" w:hAnsi="Times New Roman" w:cs="Times New Roman"/>
          <w:spacing w:val="-3"/>
          <w:sz w:val="20"/>
          <w:szCs w:val="20"/>
          <w:lang w:val="en-US"/>
        </w:rPr>
        <w:t>-term storage</w:t>
      </w:r>
      <w:r w:rsidR="00E67914">
        <w:rPr>
          <w:rFonts w:ascii="Times New Roman" w:hAnsi="Times New Roman" w:cs="Times New Roman"/>
          <w:spacing w:val="-3"/>
          <w:sz w:val="20"/>
          <w:szCs w:val="20"/>
          <w:lang w:val="en-US"/>
        </w:rPr>
        <w:t xml:space="preserve"> options</w:t>
      </w:r>
      <w:r w:rsidRPr="00F25AA2">
        <w:rPr>
          <w:rFonts w:ascii="Times New Roman" w:hAnsi="Times New Roman" w:cs="Times New Roman"/>
          <w:spacing w:val="-3"/>
          <w:sz w:val="20"/>
          <w:szCs w:val="20"/>
          <w:lang w:val="en-US"/>
        </w:rPr>
        <w:t xml:space="preserve"> </w:t>
      </w:r>
      <w:r w:rsidRPr="00F25AA2">
        <w:rPr>
          <w:rFonts w:ascii="Times New Roman" w:eastAsia="Times New Roman" w:hAnsi="Times New Roman" w:cs="Times New Roman"/>
          <w:spacing w:val="-3"/>
          <w:sz w:val="20"/>
          <w:szCs w:val="20"/>
          <w:lang w:val="en-US"/>
        </w:rPr>
        <w:t xml:space="preserve">is the self-cannibalism of storages in electricity markets. This means that every additional storage reduces the price spread and, hence, its own </w:t>
      </w:r>
      <w:r w:rsidRPr="00F25AA2">
        <w:rPr>
          <w:rFonts w:ascii="Times New Roman" w:eastAsia="Times New Roman" w:hAnsi="Times New Roman" w:cs="Times New Roman"/>
          <w:spacing w:val="-3"/>
          <w:sz w:val="20"/>
          <w:szCs w:val="20"/>
          <w:lang w:val="en-US"/>
        </w:rPr>
        <w:lastRenderedPageBreak/>
        <w:t>economic performance, Ehlers (2011). Other reasons are competition with demand response options, de</w:t>
      </w:r>
      <w:r w:rsidRPr="00F25AA2">
        <w:rPr>
          <w:rFonts w:ascii="Times New Roman" w:eastAsia="Times New Roman" w:hAnsi="Times New Roman" w:cs="Times New Roman"/>
          <w:bCs/>
          <w:spacing w:val="-3"/>
          <w:sz w:val="20"/>
          <w:szCs w:val="20"/>
          <w:lang w:val="en-US"/>
        </w:rPr>
        <w:t>mand –side management, power-to-</w:t>
      </w:r>
      <w:r w:rsidR="00E67914" w:rsidRPr="00F25AA2">
        <w:rPr>
          <w:rFonts w:ascii="Times New Roman" w:eastAsia="Times New Roman" w:hAnsi="Times New Roman" w:cs="Times New Roman"/>
          <w:bCs/>
          <w:spacing w:val="-3"/>
          <w:sz w:val="20"/>
          <w:szCs w:val="20"/>
          <w:lang w:val="en-US"/>
        </w:rPr>
        <w:t xml:space="preserve">heat </w:t>
      </w:r>
      <w:r w:rsidR="00E67914" w:rsidRPr="00F25AA2">
        <w:rPr>
          <w:rFonts w:ascii="Times New Roman" w:eastAsia="Times New Roman" w:hAnsi="Times New Roman" w:cs="Times New Roman"/>
          <w:spacing w:val="-3"/>
          <w:sz w:val="20"/>
          <w:szCs w:val="20"/>
          <w:lang w:val="en-US"/>
        </w:rPr>
        <w:t>and</w:t>
      </w:r>
      <w:r w:rsidRPr="00F25AA2">
        <w:rPr>
          <w:rFonts w:ascii="Times New Roman" w:eastAsia="Times New Roman" w:hAnsi="Times New Roman" w:cs="Times New Roman"/>
          <w:spacing w:val="-3"/>
          <w:sz w:val="20"/>
          <w:szCs w:val="20"/>
          <w:lang w:val="en-US"/>
        </w:rPr>
        <w:t xml:space="preserve"> decentralized storages. The costs of the latter will not decline </w:t>
      </w:r>
      <w:r w:rsidRPr="00F25AA2">
        <w:rPr>
          <w:rFonts w:ascii="Times New Roman" w:eastAsia="Times New Roman" w:hAnsi="Times New Roman" w:cs="Times New Roman"/>
          <w:spacing w:val="-3"/>
          <w:sz w:val="20"/>
          <w:szCs w:val="20"/>
          <w:lang w:val="en-GB"/>
        </w:rPr>
        <w:t>significant</w:t>
      </w:r>
      <w:r w:rsidR="00E67914">
        <w:rPr>
          <w:rFonts w:ascii="Times New Roman" w:eastAsia="Times New Roman" w:hAnsi="Times New Roman" w:cs="Times New Roman"/>
          <w:spacing w:val="-3"/>
          <w:sz w:val="20"/>
          <w:szCs w:val="20"/>
          <w:lang w:val="en-GB"/>
        </w:rPr>
        <w:t xml:space="preserve">ly </w:t>
      </w:r>
      <w:r w:rsidRPr="00F25AA2">
        <w:rPr>
          <w:rFonts w:ascii="Times New Roman" w:eastAsia="Times New Roman" w:hAnsi="Times New Roman" w:cs="Times New Roman"/>
          <w:spacing w:val="-3"/>
          <w:sz w:val="20"/>
          <w:szCs w:val="20"/>
          <w:lang w:val="en-US"/>
        </w:rPr>
        <w:t>faster but they will compete on end-user price level which is (and will remain</w:t>
      </w:r>
      <w:r w:rsidR="00E67914" w:rsidRPr="00F25AA2">
        <w:rPr>
          <w:rFonts w:ascii="Times New Roman" w:eastAsia="Times New Roman" w:hAnsi="Times New Roman" w:cs="Times New Roman"/>
          <w:spacing w:val="-3"/>
          <w:sz w:val="20"/>
          <w:szCs w:val="20"/>
          <w:lang w:val="en-US"/>
        </w:rPr>
        <w:t>) remarkably</w:t>
      </w:r>
      <w:r w:rsidRPr="00F25AA2">
        <w:rPr>
          <w:rFonts w:ascii="Times New Roman" w:eastAsia="Times New Roman" w:hAnsi="Times New Roman" w:cs="Times New Roman"/>
          <w:spacing w:val="-3"/>
          <w:sz w:val="20"/>
          <w:szCs w:val="20"/>
          <w:lang w:val="en-US"/>
        </w:rPr>
        <w:t xml:space="preserve"> higher</w:t>
      </w:r>
      <w:r w:rsidR="00E67914">
        <w:rPr>
          <w:rFonts w:ascii="Times New Roman" w:eastAsia="Times New Roman" w:hAnsi="Times New Roman" w:cs="Times New Roman"/>
          <w:spacing w:val="-3"/>
          <w:sz w:val="20"/>
          <w:szCs w:val="20"/>
          <w:lang w:val="en-US"/>
        </w:rPr>
        <w:t>.</w:t>
      </w:r>
    </w:p>
    <w:p w:rsidR="005B22C4" w:rsidRDefault="005B22C4" w:rsidP="00430D5A">
      <w:pPr>
        <w:pStyle w:val="Textkrper"/>
        <w:jc w:val="both"/>
        <w:rPr>
          <w:rFonts w:eastAsia="MS Mincho"/>
          <w:sz w:val="20"/>
        </w:rPr>
      </w:pPr>
    </w:p>
    <w:p w:rsidR="00430D5A" w:rsidRPr="00F25AA2" w:rsidRDefault="00430D5A" w:rsidP="00430D5A">
      <w:pPr>
        <w:pStyle w:val="Textkrper"/>
        <w:jc w:val="both"/>
        <w:rPr>
          <w:rFonts w:eastAsia="MS Mincho"/>
          <w:sz w:val="20"/>
        </w:rPr>
      </w:pPr>
      <w:r w:rsidRPr="00F25AA2">
        <w:rPr>
          <w:rFonts w:eastAsia="MS Mincho"/>
          <w:sz w:val="20"/>
        </w:rPr>
        <w:t>Next we discuss whether the use of hydrogen in transport could be a solution. An alternative could be hydrogen use directly in the transport sector. Since in this sector GHG emissions are continuously increasing, one of the major challenges for the EU is to find polices and measures with which this trend can be stopped. One important target is to increase use of RES and zero-emission vehicles (ZEV) (such as battery electric vehicles (BEV) and fuel cell vehicles (FCV)) in car passenger transport.</w:t>
      </w:r>
    </w:p>
    <w:p w:rsidR="00430D5A" w:rsidRPr="00F25AA2" w:rsidRDefault="00430D5A" w:rsidP="00430D5A">
      <w:pPr>
        <w:pStyle w:val="Textkrper"/>
        <w:jc w:val="both"/>
        <w:rPr>
          <w:rFonts w:eastAsia="MS Mincho"/>
          <w:sz w:val="20"/>
        </w:rPr>
      </w:pPr>
      <w:r w:rsidRPr="00F25AA2">
        <w:rPr>
          <w:rFonts w:eastAsia="MS Mincho"/>
          <w:sz w:val="20"/>
        </w:rPr>
        <w:t>Although these technologies have already environmental advantages, they are still not economically competitive (especially FCV).  Also some technical characteristics of ZEV (such as driving range of BEV) have to be improved.</w:t>
      </w:r>
    </w:p>
    <w:p w:rsidR="005B22C4" w:rsidRDefault="005B22C4" w:rsidP="00430D5A">
      <w:pPr>
        <w:pStyle w:val="Textkrper"/>
        <w:jc w:val="both"/>
        <w:rPr>
          <w:rFonts w:eastAsia="MS Mincho"/>
          <w:sz w:val="20"/>
        </w:rPr>
      </w:pPr>
    </w:p>
    <w:p w:rsidR="00430D5A" w:rsidRPr="00F25AA2" w:rsidRDefault="00430D5A" w:rsidP="00430D5A">
      <w:pPr>
        <w:pStyle w:val="Textkrper"/>
        <w:jc w:val="both"/>
        <w:rPr>
          <w:rFonts w:eastAsia="MS Mincho"/>
          <w:sz w:val="20"/>
        </w:rPr>
      </w:pPr>
      <w:r w:rsidRPr="00F25AA2">
        <w:rPr>
          <w:rFonts w:eastAsia="MS Mincho"/>
          <w:sz w:val="20"/>
        </w:rPr>
        <w:t xml:space="preserve">To reduce </w:t>
      </w:r>
      <w:r>
        <w:rPr>
          <w:rFonts w:eastAsia="MS Mincho"/>
        </w:rPr>
        <w:t xml:space="preserve">the </w:t>
      </w:r>
      <w:r w:rsidRPr="00F25AA2">
        <w:rPr>
          <w:rFonts w:eastAsia="MS Mincho"/>
          <w:sz w:val="20"/>
        </w:rPr>
        <w:t xml:space="preserve">relatively high costs of hydrogen cheap surplus electricity from </w:t>
      </w:r>
      <w:r w:rsidR="00C63E59">
        <w:rPr>
          <w:rFonts w:eastAsia="MS Mincho"/>
          <w:sz w:val="20"/>
        </w:rPr>
        <w:t>variable</w:t>
      </w:r>
      <w:r w:rsidRPr="00F25AA2">
        <w:rPr>
          <w:rFonts w:eastAsia="MS Mincho"/>
          <w:sz w:val="20"/>
        </w:rPr>
        <w:t xml:space="preserve"> RES can be used for electrolysis. </w:t>
      </w:r>
      <w:r w:rsidR="004479C5" w:rsidRPr="00430D5A">
        <w:rPr>
          <w:rFonts w:eastAsiaTheme="minorHAnsi"/>
          <w:sz w:val="20"/>
          <w:lang w:val="en-US"/>
        </w:rPr>
        <w:t xml:space="preserve">The major problem of the economics of </w:t>
      </w:r>
      <w:r w:rsidR="004479C5">
        <w:rPr>
          <w:sz w:val="20"/>
          <w:lang w:val="en-US"/>
        </w:rPr>
        <w:t xml:space="preserve">all </w:t>
      </w:r>
      <w:r w:rsidR="004479C5" w:rsidRPr="00430D5A">
        <w:rPr>
          <w:rFonts w:eastAsiaTheme="minorHAnsi"/>
          <w:sz w:val="20"/>
          <w:lang w:val="en-US"/>
        </w:rPr>
        <w:t xml:space="preserve">storage options are their low FLH. Currently, a figure of about 2000 hours per year is considered to be the minimum. </w:t>
      </w:r>
      <w:r w:rsidR="00C63E59">
        <w:rPr>
          <w:rFonts w:eastAsiaTheme="minorHAnsi"/>
          <w:sz w:val="20"/>
          <w:lang w:val="en-US"/>
        </w:rPr>
        <w:t>C</w:t>
      </w:r>
      <w:r w:rsidR="004479C5" w:rsidRPr="00430D5A">
        <w:rPr>
          <w:rFonts w:eastAsiaTheme="minorHAnsi"/>
          <w:sz w:val="20"/>
          <w:lang w:val="en-US"/>
        </w:rPr>
        <w:t>osts are e.g. about four times higher if the FLH are reduced to 500 h/yr. Moreover, at current price spreads of about 3 to 5 cents/kWh in the Western European market no type of storage is economically attractive at FLH below 4000 h/yr.</w:t>
      </w:r>
      <w:r w:rsidR="00C63E59">
        <w:rPr>
          <w:rFonts w:eastAsiaTheme="minorHAnsi"/>
          <w:sz w:val="20"/>
          <w:lang w:val="en-US"/>
        </w:rPr>
        <w:t xml:space="preserve"> Hence</w:t>
      </w:r>
      <w:r w:rsidRPr="00F25AA2">
        <w:rPr>
          <w:rFonts w:eastAsia="MS Mincho"/>
          <w:sz w:val="20"/>
        </w:rPr>
        <w:t xml:space="preserve">, the number of full-load hours, which are dependent on availability of surplus electricity from wind and PV, have a crucial impact on the total hydrogen costs. The impact of the number of full-load hours (two different cases have been calculated: 1,800 and 3,000 hours) on hydrogen costs are shown in Fig. </w:t>
      </w:r>
      <w:r w:rsidR="004479C5">
        <w:rPr>
          <w:rFonts w:eastAsia="MS Mincho"/>
          <w:sz w:val="20"/>
        </w:rPr>
        <w:t>4</w:t>
      </w:r>
      <w:r w:rsidRPr="00F25AA2">
        <w:rPr>
          <w:rFonts w:eastAsia="MS Mincho"/>
          <w:sz w:val="20"/>
        </w:rPr>
        <w:t>.</w:t>
      </w:r>
    </w:p>
    <w:p w:rsidR="00430D5A" w:rsidRDefault="00430D5A" w:rsidP="00430D5A">
      <w:pPr>
        <w:pStyle w:val="AbstractText"/>
        <w:spacing w:before="0"/>
        <w:rPr>
          <w:szCs w:val="24"/>
          <w:lang w:val="en-US"/>
        </w:rPr>
      </w:pPr>
    </w:p>
    <w:tbl>
      <w:tblPr>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4906"/>
      </w:tblGrid>
      <w:tr w:rsidR="00430D5A" w:rsidRPr="00FF5B67" w:rsidTr="00E67914">
        <w:trPr>
          <w:trHeight w:val="3678"/>
        </w:trPr>
        <w:tc>
          <w:tcPr>
            <w:tcW w:w="5495" w:type="dxa"/>
            <w:shd w:val="clear" w:color="auto" w:fill="auto"/>
          </w:tcPr>
          <w:p w:rsidR="00430D5A" w:rsidRPr="00FF5B67" w:rsidRDefault="00E67914" w:rsidP="0062316B">
            <w:pPr>
              <w:tabs>
                <w:tab w:val="left" w:pos="-1134"/>
                <w:tab w:val="left" w:pos="-414"/>
              </w:tabs>
              <w:suppressAutoHyphens/>
              <w:rPr>
                <w:spacing w:val="-3"/>
              </w:rPr>
            </w:pPr>
            <w:r>
              <w:rPr>
                <w:noProof/>
                <w:spacing w:val="-3"/>
                <w:lang w:eastAsia="de-AT"/>
              </w:rPr>
              <w:drawing>
                <wp:inline distT="0" distB="0" distL="0" distR="0" wp14:anchorId="5B00AB9C" wp14:editId="43C4717D">
                  <wp:extent cx="3355450" cy="2249231"/>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5450" cy="2249231"/>
                          </a:xfrm>
                          <a:prstGeom prst="rect">
                            <a:avLst/>
                          </a:prstGeom>
                          <a:noFill/>
                        </pic:spPr>
                      </pic:pic>
                    </a:graphicData>
                  </a:graphic>
                </wp:inline>
              </w:drawing>
            </w:r>
          </w:p>
        </w:tc>
        <w:tc>
          <w:tcPr>
            <w:tcW w:w="4906" w:type="dxa"/>
            <w:shd w:val="clear" w:color="auto" w:fill="auto"/>
          </w:tcPr>
          <w:p w:rsidR="00430D5A" w:rsidRDefault="00430D5A" w:rsidP="0062316B">
            <w:pPr>
              <w:tabs>
                <w:tab w:val="left" w:pos="-1134"/>
                <w:tab w:val="left" w:pos="-414"/>
              </w:tabs>
              <w:suppressAutoHyphens/>
              <w:rPr>
                <w:rFonts w:eastAsia="MS Mincho"/>
                <w:noProof/>
                <w:lang w:eastAsia="de-AT"/>
              </w:rPr>
            </w:pPr>
          </w:p>
          <w:p w:rsidR="00E67914" w:rsidRPr="00FF5B67" w:rsidRDefault="00E67914" w:rsidP="00E67914">
            <w:pPr>
              <w:tabs>
                <w:tab w:val="left" w:pos="-1134"/>
                <w:tab w:val="left" w:pos="-414"/>
              </w:tabs>
              <w:suppressAutoHyphens/>
              <w:rPr>
                <w:spacing w:val="-3"/>
              </w:rPr>
            </w:pPr>
            <w:r>
              <w:rPr>
                <w:noProof/>
                <w:spacing w:val="-3"/>
                <w:lang w:eastAsia="de-AT"/>
              </w:rPr>
              <w:drawing>
                <wp:inline distT="0" distB="0" distL="0" distR="0" wp14:anchorId="62429EE0" wp14:editId="30D5E8BE">
                  <wp:extent cx="3035935" cy="19812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5935" cy="1981200"/>
                          </a:xfrm>
                          <a:prstGeom prst="rect">
                            <a:avLst/>
                          </a:prstGeom>
                          <a:noFill/>
                        </pic:spPr>
                      </pic:pic>
                    </a:graphicData>
                  </a:graphic>
                </wp:inline>
              </w:drawing>
            </w:r>
          </w:p>
        </w:tc>
      </w:tr>
      <w:tr w:rsidR="00430D5A" w:rsidRPr="00E67914" w:rsidTr="00E67914">
        <w:trPr>
          <w:trHeight w:val="804"/>
        </w:trPr>
        <w:tc>
          <w:tcPr>
            <w:tcW w:w="5495" w:type="dxa"/>
            <w:shd w:val="clear" w:color="auto" w:fill="auto"/>
          </w:tcPr>
          <w:p w:rsidR="00430D5A" w:rsidRPr="00F25AA2" w:rsidRDefault="00E67914" w:rsidP="00E67914">
            <w:pPr>
              <w:tabs>
                <w:tab w:val="left" w:pos="-1134"/>
                <w:tab w:val="left" w:pos="-414"/>
              </w:tabs>
              <w:suppressAutoHyphens/>
              <w:spacing w:before="60" w:after="60"/>
              <w:rPr>
                <w:rFonts w:ascii="Times New Roman" w:hAnsi="Times New Roman" w:cs="Times New Roman"/>
                <w:sz w:val="20"/>
                <w:szCs w:val="20"/>
                <w:lang w:val="en-US"/>
              </w:rPr>
            </w:pPr>
            <w:r w:rsidRPr="00E67914">
              <w:rPr>
                <w:rFonts w:ascii="Times New Roman" w:hAnsi="Times New Roman" w:cs="Times New Roman"/>
                <w:b/>
                <w:sz w:val="20"/>
                <w:szCs w:val="20"/>
                <w:lang w:val="en-US"/>
              </w:rPr>
              <w:t>Figure 3.</w:t>
            </w:r>
            <w:r w:rsidRPr="00E67914">
              <w:rPr>
                <w:rFonts w:ascii="Times New Roman" w:hAnsi="Times New Roman" w:cs="Times New Roman"/>
                <w:sz w:val="20"/>
                <w:szCs w:val="20"/>
                <w:lang w:val="en-US"/>
              </w:rPr>
              <w:t xml:space="preserve"> Development of costs of hydrogen and pumped storage depending on Technological Learning over time up to 2050  </w:t>
            </w:r>
          </w:p>
        </w:tc>
        <w:tc>
          <w:tcPr>
            <w:tcW w:w="4906" w:type="dxa"/>
            <w:shd w:val="clear" w:color="auto" w:fill="auto"/>
          </w:tcPr>
          <w:p w:rsidR="00430D5A" w:rsidRPr="00F25AA2" w:rsidRDefault="00430D5A" w:rsidP="0062316B">
            <w:pPr>
              <w:tabs>
                <w:tab w:val="left" w:pos="-1134"/>
                <w:tab w:val="left" w:pos="-414"/>
              </w:tabs>
              <w:suppressAutoHyphens/>
              <w:spacing w:before="60" w:after="60"/>
              <w:rPr>
                <w:rFonts w:ascii="Times New Roman" w:hAnsi="Times New Roman" w:cs="Times New Roman"/>
                <w:sz w:val="20"/>
                <w:szCs w:val="20"/>
                <w:lang w:val="en-US"/>
              </w:rPr>
            </w:pPr>
            <w:r w:rsidRPr="00F25AA2">
              <w:rPr>
                <w:rFonts w:ascii="Times New Roman" w:hAnsi="Times New Roman" w:cs="Times New Roman"/>
                <w:b/>
                <w:spacing w:val="-3"/>
                <w:sz w:val="20"/>
                <w:szCs w:val="20"/>
                <w:lang w:val="en-US"/>
              </w:rPr>
              <w:t>Figure 4.</w:t>
            </w:r>
            <w:r w:rsidRPr="00F25AA2">
              <w:rPr>
                <w:rFonts w:ascii="Times New Roman" w:hAnsi="Times New Roman" w:cs="Times New Roman"/>
                <w:spacing w:val="-3"/>
                <w:sz w:val="20"/>
                <w:szCs w:val="20"/>
                <w:lang w:val="en-US"/>
              </w:rPr>
              <w:t xml:space="preserve"> </w:t>
            </w:r>
            <w:r w:rsidRPr="00F25AA2">
              <w:rPr>
                <w:rFonts w:ascii="Times New Roman" w:hAnsi="Times New Roman" w:cs="Times New Roman"/>
                <w:noProof/>
                <w:sz w:val="20"/>
                <w:szCs w:val="20"/>
                <w:lang w:val="en-US"/>
              </w:rPr>
              <w:t xml:space="preserve">. Energy costs of mobility per 100 km based on average of EU-15 countries in depending on full-load hours of the electrolysis for hydrogen production  </w:t>
            </w:r>
          </w:p>
        </w:tc>
      </w:tr>
    </w:tbl>
    <w:p w:rsidR="00E67914" w:rsidRDefault="00E67914" w:rsidP="00C63E59">
      <w:pPr>
        <w:spacing w:before="120" w:after="60"/>
        <w:rPr>
          <w:rFonts w:ascii="Arial" w:eastAsia="Times New Roman" w:hAnsi="Arial" w:cs="Arial"/>
          <w:b/>
          <w:spacing w:val="-3"/>
          <w:sz w:val="24"/>
          <w:szCs w:val="24"/>
          <w:lang w:val="en-US"/>
        </w:rPr>
      </w:pPr>
    </w:p>
    <w:p w:rsidR="00430D5A" w:rsidRPr="00430D5A" w:rsidRDefault="00430D5A" w:rsidP="00C63E59">
      <w:pPr>
        <w:spacing w:before="120" w:after="60"/>
        <w:rPr>
          <w:rFonts w:ascii="Arial" w:eastAsia="Times New Roman" w:hAnsi="Arial" w:cs="Arial"/>
          <w:b/>
          <w:spacing w:val="-3"/>
          <w:sz w:val="24"/>
          <w:szCs w:val="24"/>
          <w:lang w:val="en-US"/>
        </w:rPr>
      </w:pPr>
      <w:r>
        <w:rPr>
          <w:rFonts w:ascii="Arial" w:eastAsia="Times New Roman" w:hAnsi="Arial" w:cs="Arial"/>
          <w:b/>
          <w:spacing w:val="-3"/>
          <w:sz w:val="24"/>
          <w:szCs w:val="24"/>
          <w:lang w:val="en-US"/>
        </w:rPr>
        <w:t>Conclusions</w:t>
      </w:r>
    </w:p>
    <w:p w:rsidR="00430D5A" w:rsidRPr="005B22C4" w:rsidRDefault="00430D5A" w:rsidP="005B22C4">
      <w:pPr>
        <w:pStyle w:val="Textkrper"/>
        <w:jc w:val="both"/>
        <w:rPr>
          <w:rFonts w:eastAsia="MS Mincho"/>
          <w:sz w:val="20"/>
        </w:rPr>
      </w:pPr>
      <w:r w:rsidRPr="005B22C4">
        <w:rPr>
          <w:rFonts w:eastAsia="MS Mincho"/>
          <w:sz w:val="20"/>
        </w:rPr>
        <w:t>The major conclusions are: (</w:t>
      </w:r>
      <w:proofErr w:type="spellStart"/>
      <w:r w:rsidRPr="005B22C4">
        <w:rPr>
          <w:rFonts w:eastAsia="MS Mincho"/>
          <w:sz w:val="20"/>
        </w:rPr>
        <w:t>i</w:t>
      </w:r>
      <w:proofErr w:type="spellEnd"/>
      <w:r w:rsidRPr="005B22C4">
        <w:rPr>
          <w:rFonts w:eastAsia="MS Mincho"/>
          <w:sz w:val="20"/>
        </w:rPr>
        <w:t xml:space="preserve">) with respect to all centralized long-term storage technologies the future perspectives will be much less promising than currently indicated in several papers and discussions; (ii) </w:t>
      </w:r>
      <w:r w:rsidR="00E67914">
        <w:rPr>
          <w:rFonts w:eastAsia="MS Mincho"/>
          <w:sz w:val="20"/>
        </w:rPr>
        <w:t>f</w:t>
      </w:r>
      <w:r w:rsidRPr="005B22C4">
        <w:rPr>
          <w:rFonts w:eastAsia="MS Mincho"/>
          <w:sz w:val="20"/>
        </w:rPr>
        <w:t xml:space="preserve">or </w:t>
      </w:r>
      <w:proofErr w:type="spellStart"/>
      <w:r w:rsidRPr="005B22C4">
        <w:rPr>
          <w:rFonts w:eastAsia="MS Mincho"/>
          <w:sz w:val="20"/>
        </w:rPr>
        <w:t>PtG</w:t>
      </w:r>
      <w:proofErr w:type="spellEnd"/>
      <w:r w:rsidRPr="005B22C4">
        <w:rPr>
          <w:rFonts w:eastAsia="MS Mincho"/>
          <w:sz w:val="20"/>
        </w:rPr>
        <w:t xml:space="preserve">-technologies it will also become very hard to compete in the electricity markets despite a high technological learning potential. Yet, for hydrogen there </w:t>
      </w:r>
      <w:r w:rsidR="00E67914" w:rsidRPr="005B22C4">
        <w:rPr>
          <w:rFonts w:eastAsia="MS Mincho"/>
          <w:sz w:val="20"/>
        </w:rPr>
        <w:t>are prospects</w:t>
      </w:r>
      <w:r w:rsidRPr="005B22C4">
        <w:rPr>
          <w:rFonts w:eastAsia="MS Mincho"/>
          <w:sz w:val="20"/>
        </w:rPr>
        <w:t xml:space="preserve"> for use in the transport sector. Fuel prices in transport in recent years have rather increased compared to stagnation or decreases in electricity spot markets. Consequently, and given in addition the lack of environmentally benign fuels for mobility hydrogen and methane from renewable electricity might become an economically alternative for fueling passenger cars. </w:t>
      </w:r>
    </w:p>
    <w:p w:rsidR="005B22C4" w:rsidRDefault="005B22C4" w:rsidP="00C63E59">
      <w:pPr>
        <w:spacing w:before="120" w:after="60"/>
        <w:rPr>
          <w:rFonts w:ascii="Arial" w:eastAsia="Times New Roman" w:hAnsi="Arial" w:cs="Arial"/>
          <w:b/>
          <w:spacing w:val="-3"/>
          <w:sz w:val="24"/>
          <w:szCs w:val="24"/>
          <w:lang w:val="en-US"/>
        </w:rPr>
      </w:pPr>
    </w:p>
    <w:p w:rsidR="00430D5A" w:rsidRPr="00430D5A" w:rsidRDefault="00430D5A" w:rsidP="00C63E59">
      <w:pPr>
        <w:spacing w:before="120" w:after="60"/>
        <w:rPr>
          <w:rFonts w:ascii="Arial" w:eastAsia="Times New Roman" w:hAnsi="Arial" w:cs="Arial"/>
          <w:b/>
          <w:spacing w:val="-3"/>
          <w:sz w:val="24"/>
          <w:szCs w:val="24"/>
          <w:lang w:val="en-US"/>
        </w:rPr>
      </w:pPr>
      <w:r w:rsidRPr="00430D5A">
        <w:rPr>
          <w:rFonts w:ascii="Arial" w:eastAsia="Times New Roman" w:hAnsi="Arial" w:cs="Arial"/>
          <w:b/>
          <w:spacing w:val="-3"/>
          <w:sz w:val="24"/>
          <w:szCs w:val="24"/>
          <w:lang w:val="en-US"/>
        </w:rPr>
        <w:t>References</w:t>
      </w:r>
    </w:p>
    <w:p w:rsidR="00E67914" w:rsidRDefault="00E67914" w:rsidP="005B22C4">
      <w:pPr>
        <w:spacing w:before="60" w:after="60"/>
        <w:ind w:left="425" w:hanging="425"/>
        <w:jc w:val="both"/>
        <w:rPr>
          <w:rFonts w:ascii="Times New Roman" w:hAnsi="Times New Roman" w:cs="Times New Roman"/>
          <w:sz w:val="20"/>
          <w:szCs w:val="20"/>
          <w:lang w:val="en-US"/>
        </w:rPr>
      </w:pPr>
      <w:proofErr w:type="spellStart"/>
      <w:r w:rsidRPr="00E67914">
        <w:rPr>
          <w:rFonts w:ascii="Times New Roman" w:hAnsi="Times New Roman" w:cs="Times New Roman"/>
          <w:sz w:val="20"/>
          <w:szCs w:val="20"/>
          <w:lang w:val="en-US"/>
        </w:rPr>
        <w:t>Ajanovic</w:t>
      </w:r>
      <w:proofErr w:type="spellEnd"/>
      <w:r w:rsidRPr="00E67914">
        <w:rPr>
          <w:rFonts w:ascii="Times New Roman" w:hAnsi="Times New Roman" w:cs="Times New Roman"/>
          <w:sz w:val="20"/>
          <w:szCs w:val="20"/>
          <w:lang w:val="en-US"/>
        </w:rPr>
        <w:t xml:space="preserve"> A., </w:t>
      </w:r>
      <w:proofErr w:type="gramStart"/>
      <w:r w:rsidRPr="00E67914">
        <w:rPr>
          <w:rFonts w:ascii="Times New Roman" w:hAnsi="Times New Roman" w:cs="Times New Roman"/>
          <w:sz w:val="20"/>
          <w:szCs w:val="20"/>
          <w:lang w:val="en-US"/>
        </w:rPr>
        <w:t>On</w:t>
      </w:r>
      <w:proofErr w:type="gramEnd"/>
      <w:r w:rsidRPr="00E67914">
        <w:rPr>
          <w:rFonts w:ascii="Times New Roman" w:hAnsi="Times New Roman" w:cs="Times New Roman"/>
          <w:sz w:val="20"/>
          <w:szCs w:val="20"/>
          <w:lang w:val="en-US"/>
        </w:rPr>
        <w:t xml:space="preserve"> the economics of hydrogen from renewable energy sources as an alternative fuel in transport sector in Austria, International Journal of Hydrogen Energy, Volume 33, Issue 16, August 2008, Pages 4223–4234</w:t>
      </w:r>
    </w:p>
    <w:p w:rsidR="00E67914" w:rsidRDefault="00E67914" w:rsidP="005B22C4">
      <w:pPr>
        <w:spacing w:before="60" w:after="60"/>
        <w:ind w:left="425" w:hanging="425"/>
        <w:jc w:val="both"/>
        <w:rPr>
          <w:rFonts w:ascii="Times New Roman" w:hAnsi="Times New Roman" w:cs="Times New Roman"/>
          <w:sz w:val="20"/>
          <w:szCs w:val="20"/>
          <w:lang w:val="en-US"/>
        </w:rPr>
      </w:pPr>
      <w:r w:rsidRPr="00E67914">
        <w:rPr>
          <w:rFonts w:ascii="Times New Roman" w:hAnsi="Times New Roman" w:cs="Times New Roman"/>
          <w:sz w:val="20"/>
          <w:szCs w:val="20"/>
          <w:lang w:val="en-US"/>
        </w:rPr>
        <w:t>IEA: Energy Technology Perspectives, OECD/IEA, Paris 2011</w:t>
      </w:r>
    </w:p>
    <w:p w:rsidR="00E67914" w:rsidRDefault="005B22C4" w:rsidP="001F34B0">
      <w:pPr>
        <w:spacing w:before="60" w:after="60"/>
        <w:ind w:left="425" w:hanging="425"/>
        <w:jc w:val="both"/>
        <w:rPr>
          <w:rFonts w:ascii="Times New Roman" w:hAnsi="Times New Roman" w:cs="Times New Roman"/>
          <w:sz w:val="20"/>
          <w:szCs w:val="20"/>
          <w:lang w:val="en-US"/>
        </w:rPr>
      </w:pPr>
      <w:r w:rsidRPr="00E67914">
        <w:rPr>
          <w:rFonts w:ascii="Times New Roman" w:hAnsi="Times New Roman" w:cs="Times New Roman"/>
          <w:sz w:val="20"/>
          <w:szCs w:val="20"/>
        </w:rPr>
        <w:t>Ehlers, N: Strommarktdesign angesichts des Ausbaus fluktuierender Stromerzeugung, Dissertation, Technische Universität Berlin 2011.</w:t>
      </w:r>
    </w:p>
    <w:sectPr w:rsidR="00E67914" w:rsidSect="00C62129">
      <w:pgSz w:w="12240" w:h="15840"/>
      <w:pgMar w:top="1191" w:right="907" w:bottom="73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3A7"/>
    <w:rsid w:val="0000790D"/>
    <w:rsid w:val="000137A7"/>
    <w:rsid w:val="0004681A"/>
    <w:rsid w:val="00052BF7"/>
    <w:rsid w:val="0006512F"/>
    <w:rsid w:val="00072872"/>
    <w:rsid w:val="00096E66"/>
    <w:rsid w:val="000A6BE8"/>
    <w:rsid w:val="000B1A35"/>
    <w:rsid w:val="000C0073"/>
    <w:rsid w:val="000C2460"/>
    <w:rsid w:val="000C5F21"/>
    <w:rsid w:val="00101DA0"/>
    <w:rsid w:val="001269EC"/>
    <w:rsid w:val="0012740E"/>
    <w:rsid w:val="00134194"/>
    <w:rsid w:val="00156392"/>
    <w:rsid w:val="001670C1"/>
    <w:rsid w:val="00180789"/>
    <w:rsid w:val="00190ED8"/>
    <w:rsid w:val="001C50C1"/>
    <w:rsid w:val="001F237E"/>
    <w:rsid w:val="001F34B0"/>
    <w:rsid w:val="00201AE9"/>
    <w:rsid w:val="00212AA6"/>
    <w:rsid w:val="00216610"/>
    <w:rsid w:val="0025429C"/>
    <w:rsid w:val="002543F9"/>
    <w:rsid w:val="00266862"/>
    <w:rsid w:val="002A0CC5"/>
    <w:rsid w:val="002F24BD"/>
    <w:rsid w:val="00342A4A"/>
    <w:rsid w:val="00384004"/>
    <w:rsid w:val="003B2A4B"/>
    <w:rsid w:val="003E0957"/>
    <w:rsid w:val="003E23F5"/>
    <w:rsid w:val="003E3A7F"/>
    <w:rsid w:val="003F2D5C"/>
    <w:rsid w:val="00402A3D"/>
    <w:rsid w:val="00404473"/>
    <w:rsid w:val="00404B8C"/>
    <w:rsid w:val="0041127D"/>
    <w:rsid w:val="004114A8"/>
    <w:rsid w:val="00430D5A"/>
    <w:rsid w:val="004352E6"/>
    <w:rsid w:val="00441828"/>
    <w:rsid w:val="004479C5"/>
    <w:rsid w:val="00473ED8"/>
    <w:rsid w:val="00482638"/>
    <w:rsid w:val="004A220C"/>
    <w:rsid w:val="004A6C41"/>
    <w:rsid w:val="004B3AC2"/>
    <w:rsid w:val="004D56C0"/>
    <w:rsid w:val="004E1ED5"/>
    <w:rsid w:val="004E734E"/>
    <w:rsid w:val="00510159"/>
    <w:rsid w:val="00512242"/>
    <w:rsid w:val="005255B6"/>
    <w:rsid w:val="005259B7"/>
    <w:rsid w:val="00534564"/>
    <w:rsid w:val="005441AC"/>
    <w:rsid w:val="005509CD"/>
    <w:rsid w:val="00567B5B"/>
    <w:rsid w:val="00591529"/>
    <w:rsid w:val="005A587F"/>
    <w:rsid w:val="005B22C4"/>
    <w:rsid w:val="005B63DE"/>
    <w:rsid w:val="005C4B03"/>
    <w:rsid w:val="00646B97"/>
    <w:rsid w:val="00653020"/>
    <w:rsid w:val="00657520"/>
    <w:rsid w:val="006575B0"/>
    <w:rsid w:val="00671C7E"/>
    <w:rsid w:val="00686A1D"/>
    <w:rsid w:val="006918B3"/>
    <w:rsid w:val="00696245"/>
    <w:rsid w:val="006A4934"/>
    <w:rsid w:val="006B472F"/>
    <w:rsid w:val="006F4E97"/>
    <w:rsid w:val="0072039A"/>
    <w:rsid w:val="00721DB7"/>
    <w:rsid w:val="007236A5"/>
    <w:rsid w:val="007339AA"/>
    <w:rsid w:val="00741F22"/>
    <w:rsid w:val="00747714"/>
    <w:rsid w:val="007564DD"/>
    <w:rsid w:val="00771914"/>
    <w:rsid w:val="007944D8"/>
    <w:rsid w:val="007973D1"/>
    <w:rsid w:val="007C08B9"/>
    <w:rsid w:val="007C0EFD"/>
    <w:rsid w:val="007C61BC"/>
    <w:rsid w:val="007D62E3"/>
    <w:rsid w:val="00811E5E"/>
    <w:rsid w:val="00817C9F"/>
    <w:rsid w:val="008328FC"/>
    <w:rsid w:val="00856119"/>
    <w:rsid w:val="00871BA9"/>
    <w:rsid w:val="008A0ECE"/>
    <w:rsid w:val="008B327D"/>
    <w:rsid w:val="008B5E03"/>
    <w:rsid w:val="008E411E"/>
    <w:rsid w:val="008E69E9"/>
    <w:rsid w:val="009006B6"/>
    <w:rsid w:val="00902615"/>
    <w:rsid w:val="009603AA"/>
    <w:rsid w:val="00976F38"/>
    <w:rsid w:val="00987321"/>
    <w:rsid w:val="009A210E"/>
    <w:rsid w:val="009A32D2"/>
    <w:rsid w:val="009B6AAD"/>
    <w:rsid w:val="00A05807"/>
    <w:rsid w:val="00A12B40"/>
    <w:rsid w:val="00A17352"/>
    <w:rsid w:val="00A259EB"/>
    <w:rsid w:val="00A32157"/>
    <w:rsid w:val="00A356E2"/>
    <w:rsid w:val="00A367BF"/>
    <w:rsid w:val="00A4447B"/>
    <w:rsid w:val="00A82F58"/>
    <w:rsid w:val="00A90045"/>
    <w:rsid w:val="00AA44C0"/>
    <w:rsid w:val="00AD684D"/>
    <w:rsid w:val="00AE34EF"/>
    <w:rsid w:val="00B243A7"/>
    <w:rsid w:val="00B53404"/>
    <w:rsid w:val="00BC3BF4"/>
    <w:rsid w:val="00BE055F"/>
    <w:rsid w:val="00BE074E"/>
    <w:rsid w:val="00BF6F01"/>
    <w:rsid w:val="00C026D9"/>
    <w:rsid w:val="00C0340C"/>
    <w:rsid w:val="00C17DAE"/>
    <w:rsid w:val="00C609DE"/>
    <w:rsid w:val="00C62129"/>
    <w:rsid w:val="00C62D68"/>
    <w:rsid w:val="00C63E59"/>
    <w:rsid w:val="00C95847"/>
    <w:rsid w:val="00CC23E3"/>
    <w:rsid w:val="00CD138D"/>
    <w:rsid w:val="00CF41CC"/>
    <w:rsid w:val="00CF607C"/>
    <w:rsid w:val="00D10D08"/>
    <w:rsid w:val="00D11C82"/>
    <w:rsid w:val="00D31B25"/>
    <w:rsid w:val="00DA37CB"/>
    <w:rsid w:val="00DD4B7F"/>
    <w:rsid w:val="00DE3FDF"/>
    <w:rsid w:val="00E10459"/>
    <w:rsid w:val="00E11B8E"/>
    <w:rsid w:val="00E15E6E"/>
    <w:rsid w:val="00E241B7"/>
    <w:rsid w:val="00E24433"/>
    <w:rsid w:val="00E30780"/>
    <w:rsid w:val="00E67914"/>
    <w:rsid w:val="00E943B8"/>
    <w:rsid w:val="00EA00A0"/>
    <w:rsid w:val="00EB2AC4"/>
    <w:rsid w:val="00EB55C0"/>
    <w:rsid w:val="00EC246E"/>
    <w:rsid w:val="00ED7650"/>
    <w:rsid w:val="00F16632"/>
    <w:rsid w:val="00F43D4D"/>
    <w:rsid w:val="00F514F1"/>
    <w:rsid w:val="00F56695"/>
    <w:rsid w:val="00F73766"/>
    <w:rsid w:val="00F773B8"/>
    <w:rsid w:val="00F950DE"/>
    <w:rsid w:val="00FD40F7"/>
    <w:rsid w:val="00FD4795"/>
    <w:rsid w:val="00FD6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AT"/>
    </w:rPr>
  </w:style>
  <w:style w:type="paragraph" w:styleId="berschrift1">
    <w:name w:val="heading 1"/>
    <w:basedOn w:val="Standard"/>
    <w:next w:val="Standard"/>
    <w:link w:val="berschrift1Zchn"/>
    <w:uiPriority w:val="9"/>
    <w:qFormat/>
    <w:rsid w:val="00C621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1F237E"/>
    <w:pPr>
      <w:keepNext/>
      <w:spacing w:before="240" w:after="60" w:line="240" w:lineRule="auto"/>
      <w:outlineLvl w:val="1"/>
    </w:pPr>
    <w:rPr>
      <w:rFonts w:ascii="Arial" w:eastAsia="Times New Roman" w:hAnsi="Arial" w:cs="Times New Roman"/>
      <w:b/>
      <w:i/>
      <w:szCs w:val="20"/>
      <w:lang w:val="en-GB"/>
    </w:rPr>
  </w:style>
  <w:style w:type="paragraph" w:styleId="berschrift3">
    <w:name w:val="heading 3"/>
    <w:basedOn w:val="Standard"/>
    <w:next w:val="Standard"/>
    <w:link w:val="berschrift3Zchn"/>
    <w:uiPriority w:val="9"/>
    <w:semiHidden/>
    <w:unhideWhenUsed/>
    <w:qFormat/>
    <w:rsid w:val="00C621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harCharChar1CharCharCharCharZchnChar1Zchn1Char">
    <w:name w:val="Char Char Char1 Char Char Char Char Zchn Char1 Zchn1 Char"/>
    <w:aliases w:val="Char Char Char1 Char Char Zchn Zchn Char1 Zchn Zchn1 Char"/>
    <w:basedOn w:val="Standard"/>
    <w:rsid w:val="00C609DE"/>
    <w:pPr>
      <w:spacing w:after="0" w:line="240" w:lineRule="auto"/>
    </w:pPr>
    <w:rPr>
      <w:rFonts w:ascii="Times New Roman" w:eastAsia="Times New Roman" w:hAnsi="Times New Roman" w:cs="Times New Roman"/>
      <w:sz w:val="24"/>
      <w:szCs w:val="24"/>
      <w:lang w:val="pl-PL" w:eastAsia="pl-PL"/>
    </w:rPr>
  </w:style>
  <w:style w:type="paragraph" w:customStyle="1" w:styleId="BodyTextDRCN">
    <w:name w:val="Body Text DRCN"/>
    <w:basedOn w:val="Standard"/>
    <w:rsid w:val="002F24BD"/>
    <w:pPr>
      <w:spacing w:after="60" w:line="240" w:lineRule="auto"/>
      <w:ind w:firstLine="187"/>
      <w:jc w:val="both"/>
    </w:pPr>
    <w:rPr>
      <w:rFonts w:ascii="Times New Roman" w:eastAsia="Times New Roman" w:hAnsi="Times New Roman" w:cs="Times New Roman"/>
      <w:sz w:val="20"/>
      <w:szCs w:val="24"/>
      <w:lang w:val="en-CA" w:eastAsia="ar-SA"/>
    </w:rPr>
  </w:style>
  <w:style w:type="paragraph" w:customStyle="1" w:styleId="AbstractText">
    <w:name w:val="Abstract Text"/>
    <w:next w:val="Standard"/>
    <w:rsid w:val="002F24BD"/>
    <w:pPr>
      <w:widowControl w:val="0"/>
      <w:spacing w:before="240" w:after="0" w:line="240" w:lineRule="auto"/>
      <w:jc w:val="both"/>
      <w:outlineLvl w:val="1"/>
    </w:pPr>
    <w:rPr>
      <w:rFonts w:ascii="Times New Roman" w:eastAsia="Times New Roman" w:hAnsi="Times New Roman" w:cs="Times New Roman"/>
      <w:sz w:val="20"/>
      <w:szCs w:val="20"/>
      <w:lang w:val="en-GB"/>
    </w:rPr>
  </w:style>
  <w:style w:type="paragraph" w:styleId="Sprechblasentext">
    <w:name w:val="Balloon Text"/>
    <w:basedOn w:val="Standard"/>
    <w:link w:val="SprechblasentextZchn"/>
    <w:uiPriority w:val="99"/>
    <w:semiHidden/>
    <w:unhideWhenUsed/>
    <w:rsid w:val="002F24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24BD"/>
    <w:rPr>
      <w:rFonts w:ascii="Tahoma" w:hAnsi="Tahoma" w:cs="Tahoma"/>
      <w:sz w:val="16"/>
      <w:szCs w:val="16"/>
      <w:lang w:val="de-AT"/>
    </w:rPr>
  </w:style>
  <w:style w:type="character" w:customStyle="1" w:styleId="berschrift2Zchn">
    <w:name w:val="Überschrift 2 Zchn"/>
    <w:basedOn w:val="Absatz-Standardschriftart"/>
    <w:link w:val="berschrift2"/>
    <w:rsid w:val="001F237E"/>
    <w:rPr>
      <w:rFonts w:ascii="Arial" w:eastAsia="Times New Roman" w:hAnsi="Arial" w:cs="Times New Roman"/>
      <w:b/>
      <w:i/>
      <w:szCs w:val="20"/>
      <w:lang w:val="en-GB"/>
    </w:rPr>
  </w:style>
  <w:style w:type="character" w:customStyle="1" w:styleId="berschrift1Zchn">
    <w:name w:val="Überschrift 1 Zchn"/>
    <w:basedOn w:val="Absatz-Standardschriftart"/>
    <w:link w:val="berschrift1"/>
    <w:uiPriority w:val="9"/>
    <w:rsid w:val="00C62129"/>
    <w:rPr>
      <w:rFonts w:asciiTheme="majorHAnsi" w:eastAsiaTheme="majorEastAsia" w:hAnsiTheme="majorHAnsi" w:cstheme="majorBidi"/>
      <w:b/>
      <w:bCs/>
      <w:color w:val="365F91" w:themeColor="accent1" w:themeShade="BF"/>
      <w:sz w:val="28"/>
      <w:szCs w:val="28"/>
      <w:lang w:val="de-AT"/>
    </w:rPr>
  </w:style>
  <w:style w:type="character" w:customStyle="1" w:styleId="berschrift3Zchn">
    <w:name w:val="Überschrift 3 Zchn"/>
    <w:basedOn w:val="Absatz-Standardschriftart"/>
    <w:link w:val="berschrift3"/>
    <w:uiPriority w:val="9"/>
    <w:semiHidden/>
    <w:rsid w:val="00C62129"/>
    <w:rPr>
      <w:rFonts w:asciiTheme="majorHAnsi" w:eastAsiaTheme="majorEastAsia" w:hAnsiTheme="majorHAnsi" w:cstheme="majorBidi"/>
      <w:b/>
      <w:bCs/>
      <w:color w:val="4F81BD" w:themeColor="accent1"/>
      <w:lang w:val="de-AT"/>
    </w:rPr>
  </w:style>
  <w:style w:type="paragraph" w:styleId="Textkrper">
    <w:name w:val="Body Text"/>
    <w:basedOn w:val="Standard"/>
    <w:link w:val="TextkrperZchn"/>
    <w:rsid w:val="00C62129"/>
    <w:pPr>
      <w:spacing w:after="0" w:line="240" w:lineRule="auto"/>
    </w:pPr>
    <w:rPr>
      <w:rFonts w:ascii="Times New Roman" w:eastAsia="Times New Roman" w:hAnsi="Times New Roman" w:cs="Times New Roman"/>
      <w:szCs w:val="20"/>
      <w:lang w:val="en-GB"/>
    </w:rPr>
  </w:style>
  <w:style w:type="character" w:customStyle="1" w:styleId="TextkrperZchn">
    <w:name w:val="Textkörper Zchn"/>
    <w:basedOn w:val="Absatz-Standardschriftart"/>
    <w:link w:val="Textkrper"/>
    <w:rsid w:val="00C62129"/>
    <w:rPr>
      <w:rFonts w:ascii="Times New Roman" w:eastAsia="Times New Roman" w:hAnsi="Times New Roman" w:cs="Times New Roman"/>
      <w:szCs w:val="20"/>
      <w:lang w:val="en-GB"/>
    </w:rPr>
  </w:style>
  <w:style w:type="character" w:styleId="Hyperlink">
    <w:name w:val="Hyperlink"/>
    <w:basedOn w:val="Absatz-Standardschriftart"/>
    <w:uiPriority w:val="99"/>
    <w:unhideWhenUsed/>
    <w:rsid w:val="00430D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AT"/>
    </w:rPr>
  </w:style>
  <w:style w:type="paragraph" w:styleId="berschrift1">
    <w:name w:val="heading 1"/>
    <w:basedOn w:val="Standard"/>
    <w:next w:val="Standard"/>
    <w:link w:val="berschrift1Zchn"/>
    <w:uiPriority w:val="9"/>
    <w:qFormat/>
    <w:rsid w:val="00C621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1F237E"/>
    <w:pPr>
      <w:keepNext/>
      <w:spacing w:before="240" w:after="60" w:line="240" w:lineRule="auto"/>
      <w:outlineLvl w:val="1"/>
    </w:pPr>
    <w:rPr>
      <w:rFonts w:ascii="Arial" w:eastAsia="Times New Roman" w:hAnsi="Arial" w:cs="Times New Roman"/>
      <w:b/>
      <w:i/>
      <w:szCs w:val="20"/>
      <w:lang w:val="en-GB"/>
    </w:rPr>
  </w:style>
  <w:style w:type="paragraph" w:styleId="berschrift3">
    <w:name w:val="heading 3"/>
    <w:basedOn w:val="Standard"/>
    <w:next w:val="Standard"/>
    <w:link w:val="berschrift3Zchn"/>
    <w:uiPriority w:val="9"/>
    <w:semiHidden/>
    <w:unhideWhenUsed/>
    <w:qFormat/>
    <w:rsid w:val="00C621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harCharChar1CharCharCharCharZchnChar1Zchn1Char">
    <w:name w:val="Char Char Char1 Char Char Char Char Zchn Char1 Zchn1 Char"/>
    <w:aliases w:val="Char Char Char1 Char Char Zchn Zchn Char1 Zchn Zchn1 Char"/>
    <w:basedOn w:val="Standard"/>
    <w:rsid w:val="00C609DE"/>
    <w:pPr>
      <w:spacing w:after="0" w:line="240" w:lineRule="auto"/>
    </w:pPr>
    <w:rPr>
      <w:rFonts w:ascii="Times New Roman" w:eastAsia="Times New Roman" w:hAnsi="Times New Roman" w:cs="Times New Roman"/>
      <w:sz w:val="24"/>
      <w:szCs w:val="24"/>
      <w:lang w:val="pl-PL" w:eastAsia="pl-PL"/>
    </w:rPr>
  </w:style>
  <w:style w:type="paragraph" w:customStyle="1" w:styleId="BodyTextDRCN">
    <w:name w:val="Body Text DRCN"/>
    <w:basedOn w:val="Standard"/>
    <w:rsid w:val="002F24BD"/>
    <w:pPr>
      <w:spacing w:after="60" w:line="240" w:lineRule="auto"/>
      <w:ind w:firstLine="187"/>
      <w:jc w:val="both"/>
    </w:pPr>
    <w:rPr>
      <w:rFonts w:ascii="Times New Roman" w:eastAsia="Times New Roman" w:hAnsi="Times New Roman" w:cs="Times New Roman"/>
      <w:sz w:val="20"/>
      <w:szCs w:val="24"/>
      <w:lang w:val="en-CA" w:eastAsia="ar-SA"/>
    </w:rPr>
  </w:style>
  <w:style w:type="paragraph" w:customStyle="1" w:styleId="AbstractText">
    <w:name w:val="Abstract Text"/>
    <w:next w:val="Standard"/>
    <w:rsid w:val="002F24BD"/>
    <w:pPr>
      <w:widowControl w:val="0"/>
      <w:spacing w:before="240" w:after="0" w:line="240" w:lineRule="auto"/>
      <w:jc w:val="both"/>
      <w:outlineLvl w:val="1"/>
    </w:pPr>
    <w:rPr>
      <w:rFonts w:ascii="Times New Roman" w:eastAsia="Times New Roman" w:hAnsi="Times New Roman" w:cs="Times New Roman"/>
      <w:sz w:val="20"/>
      <w:szCs w:val="20"/>
      <w:lang w:val="en-GB"/>
    </w:rPr>
  </w:style>
  <w:style w:type="paragraph" w:styleId="Sprechblasentext">
    <w:name w:val="Balloon Text"/>
    <w:basedOn w:val="Standard"/>
    <w:link w:val="SprechblasentextZchn"/>
    <w:uiPriority w:val="99"/>
    <w:semiHidden/>
    <w:unhideWhenUsed/>
    <w:rsid w:val="002F24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24BD"/>
    <w:rPr>
      <w:rFonts w:ascii="Tahoma" w:hAnsi="Tahoma" w:cs="Tahoma"/>
      <w:sz w:val="16"/>
      <w:szCs w:val="16"/>
      <w:lang w:val="de-AT"/>
    </w:rPr>
  </w:style>
  <w:style w:type="character" w:customStyle="1" w:styleId="berschrift2Zchn">
    <w:name w:val="Überschrift 2 Zchn"/>
    <w:basedOn w:val="Absatz-Standardschriftart"/>
    <w:link w:val="berschrift2"/>
    <w:rsid w:val="001F237E"/>
    <w:rPr>
      <w:rFonts w:ascii="Arial" w:eastAsia="Times New Roman" w:hAnsi="Arial" w:cs="Times New Roman"/>
      <w:b/>
      <w:i/>
      <w:szCs w:val="20"/>
      <w:lang w:val="en-GB"/>
    </w:rPr>
  </w:style>
  <w:style w:type="character" w:customStyle="1" w:styleId="berschrift1Zchn">
    <w:name w:val="Überschrift 1 Zchn"/>
    <w:basedOn w:val="Absatz-Standardschriftart"/>
    <w:link w:val="berschrift1"/>
    <w:uiPriority w:val="9"/>
    <w:rsid w:val="00C62129"/>
    <w:rPr>
      <w:rFonts w:asciiTheme="majorHAnsi" w:eastAsiaTheme="majorEastAsia" w:hAnsiTheme="majorHAnsi" w:cstheme="majorBidi"/>
      <w:b/>
      <w:bCs/>
      <w:color w:val="365F91" w:themeColor="accent1" w:themeShade="BF"/>
      <w:sz w:val="28"/>
      <w:szCs w:val="28"/>
      <w:lang w:val="de-AT"/>
    </w:rPr>
  </w:style>
  <w:style w:type="character" w:customStyle="1" w:styleId="berschrift3Zchn">
    <w:name w:val="Überschrift 3 Zchn"/>
    <w:basedOn w:val="Absatz-Standardschriftart"/>
    <w:link w:val="berschrift3"/>
    <w:uiPriority w:val="9"/>
    <w:semiHidden/>
    <w:rsid w:val="00C62129"/>
    <w:rPr>
      <w:rFonts w:asciiTheme="majorHAnsi" w:eastAsiaTheme="majorEastAsia" w:hAnsiTheme="majorHAnsi" w:cstheme="majorBidi"/>
      <w:b/>
      <w:bCs/>
      <w:color w:val="4F81BD" w:themeColor="accent1"/>
      <w:lang w:val="de-AT"/>
    </w:rPr>
  </w:style>
  <w:style w:type="paragraph" w:styleId="Textkrper">
    <w:name w:val="Body Text"/>
    <w:basedOn w:val="Standard"/>
    <w:link w:val="TextkrperZchn"/>
    <w:rsid w:val="00C62129"/>
    <w:pPr>
      <w:spacing w:after="0" w:line="240" w:lineRule="auto"/>
    </w:pPr>
    <w:rPr>
      <w:rFonts w:ascii="Times New Roman" w:eastAsia="Times New Roman" w:hAnsi="Times New Roman" w:cs="Times New Roman"/>
      <w:szCs w:val="20"/>
      <w:lang w:val="en-GB"/>
    </w:rPr>
  </w:style>
  <w:style w:type="character" w:customStyle="1" w:styleId="TextkrperZchn">
    <w:name w:val="Textkörper Zchn"/>
    <w:basedOn w:val="Absatz-Standardschriftart"/>
    <w:link w:val="Textkrper"/>
    <w:rsid w:val="00C62129"/>
    <w:rPr>
      <w:rFonts w:ascii="Times New Roman" w:eastAsia="Times New Roman" w:hAnsi="Times New Roman" w:cs="Times New Roman"/>
      <w:szCs w:val="20"/>
      <w:lang w:val="en-GB"/>
    </w:rPr>
  </w:style>
  <w:style w:type="character" w:styleId="Hyperlink">
    <w:name w:val="Hyperlink"/>
    <w:basedOn w:val="Absatz-Standardschriftart"/>
    <w:uiPriority w:val="99"/>
    <w:unhideWhenUsed/>
    <w:rsid w:val="00430D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janovic@eeg.tuwien.ac.a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C63B4-0B8E-4FAC-9CA6-A55BAC612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883</Words>
  <Characters>5570</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TU Wien - Campusversion</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Reinhard</dc:creator>
  <cp:lastModifiedBy>amela</cp:lastModifiedBy>
  <cp:revision>5</cp:revision>
  <cp:lastPrinted>2014-12-19T14:08:00Z</cp:lastPrinted>
  <dcterms:created xsi:type="dcterms:W3CDTF">2014-12-19T14:17:00Z</dcterms:created>
  <dcterms:modified xsi:type="dcterms:W3CDTF">2014-12-19T14:31:00Z</dcterms:modified>
</cp:coreProperties>
</file>