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4D01B1">
      <w:pPr>
        <w:framePr w:w="9405" w:h="1861" w:hRule="exact" w:hSpace="187" w:wrap="auto" w:vAnchor="page" w:hAnchor="page" w:x="1464" w:y="1085"/>
        <w:jc w:val="center"/>
      </w:pPr>
      <w:r>
        <w:t xml:space="preserve">       </w:t>
      </w:r>
      <w:r>
        <w:tab/>
      </w:r>
      <w:r>
        <w:tab/>
      </w:r>
      <w:r>
        <w:tab/>
      </w:r>
      <w:r>
        <w:tab/>
      </w:r>
      <w:r>
        <w:tab/>
      </w:r>
      <w:r>
        <w:tab/>
      </w:r>
      <w:r>
        <w:tab/>
      </w:r>
      <w:r>
        <w:tab/>
      </w:r>
      <w:r>
        <w:tab/>
        <w:t xml:space="preserve">                                                 </w:t>
      </w:r>
      <w:r>
        <w:tab/>
      </w:r>
    </w:p>
    <w:p w:rsidR="004D01B1" w:rsidRDefault="00DC69F1" w:rsidP="004D01B1">
      <w:pPr>
        <w:pStyle w:val="Textkrper"/>
        <w:framePr w:w="9405" w:h="1861" w:hRule="exact" w:hSpace="187" w:wrap="auto" w:vAnchor="page" w:hAnchor="page" w:x="1464" w:y="1085"/>
        <w:rPr>
          <w:b/>
          <w:i/>
          <w:caps/>
          <w:sz w:val="28"/>
          <w:szCs w:val="28"/>
        </w:rPr>
      </w:pPr>
      <w:proofErr w:type="gramStart"/>
      <w:r w:rsidRPr="00C80856">
        <w:rPr>
          <w:b/>
          <w:i/>
          <w:caps/>
          <w:sz w:val="28"/>
          <w:szCs w:val="28"/>
        </w:rPr>
        <w:t>P</w:t>
      </w:r>
      <w:r w:rsidR="00FA43B3">
        <w:rPr>
          <w:b/>
          <w:i/>
          <w:caps/>
          <w:sz w:val="28"/>
          <w:szCs w:val="28"/>
        </w:rPr>
        <w:t>rojecting</w:t>
      </w:r>
      <w:r w:rsidR="000F29E4">
        <w:rPr>
          <w:b/>
          <w:i/>
          <w:caps/>
          <w:sz w:val="28"/>
          <w:szCs w:val="28"/>
        </w:rPr>
        <w:t xml:space="preserve"> </w:t>
      </w:r>
      <w:r w:rsidR="001D7189">
        <w:rPr>
          <w:b/>
          <w:i/>
          <w:caps/>
          <w:sz w:val="28"/>
          <w:szCs w:val="28"/>
        </w:rPr>
        <w:t xml:space="preserve"> </w:t>
      </w:r>
      <w:r w:rsidR="000F29E4">
        <w:rPr>
          <w:b/>
          <w:i/>
          <w:caps/>
          <w:sz w:val="28"/>
          <w:szCs w:val="28"/>
        </w:rPr>
        <w:t>long</w:t>
      </w:r>
      <w:proofErr w:type="gramEnd"/>
      <w:r w:rsidR="000F29E4">
        <w:rPr>
          <w:b/>
          <w:i/>
          <w:caps/>
          <w:sz w:val="28"/>
          <w:szCs w:val="28"/>
        </w:rPr>
        <w:t xml:space="preserve">-term primarY </w:t>
      </w:r>
      <w:r w:rsidR="00FA43B3">
        <w:rPr>
          <w:b/>
          <w:i/>
          <w:caps/>
          <w:sz w:val="28"/>
          <w:szCs w:val="28"/>
        </w:rPr>
        <w:t>energy</w:t>
      </w:r>
      <w:r w:rsidR="000F29E4">
        <w:rPr>
          <w:b/>
          <w:i/>
          <w:caps/>
          <w:sz w:val="28"/>
          <w:szCs w:val="28"/>
        </w:rPr>
        <w:t xml:space="preserve"> </w:t>
      </w:r>
      <w:r w:rsidR="00FA43B3">
        <w:rPr>
          <w:b/>
          <w:i/>
          <w:caps/>
          <w:sz w:val="28"/>
          <w:szCs w:val="28"/>
        </w:rPr>
        <w:t>consumption</w:t>
      </w:r>
    </w:p>
    <w:p w:rsidR="004D01B1" w:rsidRPr="004D01B1" w:rsidRDefault="004D01B1" w:rsidP="004D01B1">
      <w:pPr>
        <w:pStyle w:val="Textkrper"/>
        <w:framePr w:w="9405" w:h="1861" w:hRule="exact" w:hSpace="187" w:wrap="auto" w:vAnchor="page" w:hAnchor="page" w:x="1464" w:y="1085"/>
        <w:rPr>
          <w:b/>
          <w:sz w:val="28"/>
          <w:szCs w:val="28"/>
        </w:rPr>
      </w:pPr>
    </w:p>
    <w:p w:rsidR="004D01B1" w:rsidRPr="004D01B1" w:rsidRDefault="004D01B1" w:rsidP="004D01B1">
      <w:pPr>
        <w:framePr w:w="9405" w:h="1861" w:hRule="exact" w:hSpace="187" w:wrap="auto" w:vAnchor="page" w:hAnchor="page" w:x="1464" w:y="1085"/>
        <w:autoSpaceDE w:val="0"/>
        <w:autoSpaceDN w:val="0"/>
        <w:adjustRightInd w:val="0"/>
        <w:jc w:val="right"/>
      </w:pPr>
      <w:r w:rsidRPr="004D01B1">
        <w:t>Zsuzsanna Csereklyei</w:t>
      </w:r>
      <w:proofErr w:type="gramStart"/>
      <w:r w:rsidRPr="004D01B1">
        <w:t>,  Department</w:t>
      </w:r>
      <w:proofErr w:type="gramEnd"/>
      <w:r w:rsidRPr="004D01B1">
        <w:t xml:space="preserve"> </w:t>
      </w:r>
      <w:r w:rsidR="001D7189">
        <w:t xml:space="preserve">of Economics, Vienna University </w:t>
      </w:r>
      <w:r w:rsidRPr="004D01B1">
        <w:t xml:space="preserve">of </w:t>
      </w:r>
      <w:r w:rsidR="001D7189">
        <w:t xml:space="preserve"> </w:t>
      </w:r>
      <w:r w:rsidRPr="004D01B1">
        <w:t xml:space="preserve">Economics and Business (WU), </w:t>
      </w:r>
    </w:p>
    <w:p w:rsidR="004D01B1" w:rsidRPr="004D01B1" w:rsidRDefault="004D01B1" w:rsidP="004D01B1">
      <w:pPr>
        <w:framePr w:w="9405" w:h="1861" w:hRule="exact" w:hSpace="187" w:wrap="auto" w:vAnchor="page" w:hAnchor="page" w:x="1464" w:y="1085"/>
        <w:autoSpaceDE w:val="0"/>
        <w:autoSpaceDN w:val="0"/>
        <w:adjustRightInd w:val="0"/>
        <w:jc w:val="right"/>
      </w:pPr>
      <w:hyperlink r:id="rId7" w:history="1">
        <w:r w:rsidRPr="004D01B1">
          <w:rPr>
            <w:bCs/>
            <w:iCs/>
          </w:rPr>
          <w:t>Tel:+43/6643238603</w:t>
        </w:r>
      </w:hyperlink>
      <w:r w:rsidRPr="004D01B1">
        <w:t>, E-mail: zsuzsanna.csereklyei@acceron.at</w:t>
      </w:r>
    </w:p>
    <w:p w:rsidR="004D01B1" w:rsidRPr="004D01B1" w:rsidRDefault="004D01B1" w:rsidP="004D01B1">
      <w:pPr>
        <w:framePr w:w="9405" w:h="1861" w:hRule="exact" w:hSpace="187" w:wrap="auto" w:vAnchor="page" w:hAnchor="page" w:x="1464" w:y="1085"/>
        <w:autoSpaceDE w:val="0"/>
        <w:autoSpaceDN w:val="0"/>
        <w:adjustRightInd w:val="0"/>
        <w:jc w:val="right"/>
      </w:pPr>
      <w:r w:rsidRPr="004D01B1">
        <w:t xml:space="preserve">Stefan Humer, Department of Economics, Vienna University of Economics and Business (WU), </w:t>
      </w:r>
    </w:p>
    <w:p w:rsidR="004D01B1" w:rsidRPr="004D01B1" w:rsidRDefault="004D01B1" w:rsidP="004D01B1">
      <w:pPr>
        <w:framePr w:w="9405" w:h="1861" w:hRule="exact" w:hSpace="187" w:wrap="auto" w:vAnchor="page" w:hAnchor="page" w:x="1464" w:y="1085"/>
        <w:autoSpaceDE w:val="0"/>
        <w:autoSpaceDN w:val="0"/>
        <w:adjustRightInd w:val="0"/>
        <w:jc w:val="right"/>
        <w:rPr>
          <w:b/>
          <w:bCs/>
          <w:i/>
          <w:iCs/>
        </w:rPr>
      </w:pPr>
      <w:hyperlink r:id="rId8" w:history="1">
        <w:r w:rsidRPr="004D01B1">
          <w:rPr>
            <w:bCs/>
            <w:iCs/>
          </w:rPr>
          <w:t>Tel:+43/1313364509</w:t>
        </w:r>
      </w:hyperlink>
      <w:r w:rsidRPr="004D01B1">
        <w:t>,  E-mail: shumer@wu.ac.at</w:t>
      </w:r>
    </w:p>
    <w:p w:rsidR="004D01B1" w:rsidRPr="004D01B1" w:rsidRDefault="004D01B1" w:rsidP="004D01B1">
      <w:pPr>
        <w:pStyle w:val="berschrift2"/>
        <w:framePr w:w="9405" w:h="1861" w:hRule="exact" w:hSpace="187" w:wrap="auto" w:vAnchor="page" w:hAnchor="page" w:x="1464" w:y="1085"/>
        <w:rPr>
          <w:rFonts w:ascii="Times New Roman" w:hAnsi="Times New Roman"/>
          <w:b w:val="0"/>
          <w:i w:val="0"/>
          <w:sz w:val="20"/>
        </w:rPr>
      </w:pPr>
    </w:p>
    <w:p w:rsidR="00DC69F1" w:rsidRPr="004D01B1" w:rsidRDefault="004D01B1" w:rsidP="004D01B1">
      <w:pPr>
        <w:pStyle w:val="Textkrper"/>
        <w:framePr w:w="9405" w:h="1861" w:hRule="exact" w:hSpace="187" w:wrap="auto" w:vAnchor="page" w:hAnchor="page" w:x="1464" w:y="1085"/>
        <w:jc w:val="right"/>
        <w:rPr>
          <w:sz w:val="20"/>
        </w:rPr>
      </w:pPr>
      <w:r w:rsidRPr="004D01B1">
        <w:rPr>
          <w:sz w:val="20"/>
        </w:rPr>
        <w:t xml:space="preserve"> </w:t>
      </w:r>
    </w:p>
    <w:p w:rsidR="00DC69F1" w:rsidRPr="004D01B1" w:rsidRDefault="00DC69F1">
      <w:pPr>
        <w:pStyle w:val="copyright"/>
        <w:rPr>
          <w:rFonts w:ascii="Times New Roman" w:hAnsi="Times New Roman"/>
          <w:sz w:val="20"/>
        </w:rPr>
      </w:pPr>
    </w:p>
    <w:p w:rsidR="004D01B1" w:rsidRDefault="004D01B1" w:rsidP="001D7189">
      <w:pPr>
        <w:pStyle w:val="berschrift2"/>
      </w:pPr>
      <w:r w:rsidRPr="004D01B1">
        <w:rPr>
          <w:i w:val="0"/>
          <w:sz w:val="24"/>
          <w:szCs w:val="24"/>
        </w:rPr>
        <w:t>Overview</w:t>
      </w:r>
    </w:p>
    <w:p w:rsidR="00DC69F1" w:rsidRPr="00273BC3" w:rsidRDefault="00273BC3" w:rsidP="00273BC3">
      <w:pPr>
        <w:autoSpaceDE w:val="0"/>
        <w:autoSpaceDN w:val="0"/>
        <w:adjustRightInd w:val="0"/>
        <w:jc w:val="both"/>
        <w:rPr>
          <w:noProof/>
          <w:lang w:val="en-US"/>
        </w:rPr>
      </w:pPr>
      <w:r w:rsidRPr="004D01B1">
        <w:t>In this paper we use the long--term empirical relationship (cointegrating coefficients) between primary energy consumption</w:t>
      </w:r>
      <w:r w:rsidRPr="00273BC3">
        <w:rPr>
          <w:noProof/>
          <w:lang w:val="en-US"/>
        </w:rPr>
        <w:t xml:space="preserve">, real income, capital, population and technology, obtained by averaged panel error correction models, to project  the worldwide long-term primary energy consumption up to 2100. </w:t>
      </w:r>
    </w:p>
    <w:p w:rsidR="00273BC3" w:rsidRPr="001D7189" w:rsidRDefault="00C531E2" w:rsidP="001D7189">
      <w:pPr>
        <w:pStyle w:val="berschrift2"/>
        <w:rPr>
          <w:i w:val="0"/>
          <w:sz w:val="24"/>
          <w:szCs w:val="24"/>
        </w:rPr>
      </w:pPr>
      <w:r>
        <w:rPr>
          <w:i w:val="0"/>
          <w:sz w:val="24"/>
          <w:szCs w:val="24"/>
        </w:rPr>
        <w:t>Methodology</w:t>
      </w:r>
    </w:p>
    <w:p w:rsidR="00DC69F1" w:rsidRPr="00273BC3" w:rsidRDefault="00273BC3" w:rsidP="00273BC3">
      <w:pPr>
        <w:autoSpaceDE w:val="0"/>
        <w:autoSpaceDN w:val="0"/>
        <w:adjustRightInd w:val="0"/>
        <w:jc w:val="both"/>
        <w:rPr>
          <w:noProof/>
          <w:lang w:val="en-US"/>
        </w:rPr>
      </w:pPr>
      <w:r w:rsidRPr="00273BC3">
        <w:rPr>
          <w:noProof/>
          <w:lang w:val="en-US"/>
        </w:rPr>
        <w:t xml:space="preserve">The averaged coefficients are obtained by 33 panel error correction models estimated over the period 1965-2009 for 64 countries, assigning each country to an array of 3 X 3 equations, three different basic (composition) models, and three attribute (world, geopoliticial, and wealth level) models. The weights assigned in averaging, are based on the out-of-sample forecast performance of the individual models. </w:t>
      </w:r>
      <w:r w:rsidRPr="00273BC3">
        <w:rPr>
          <w:lang w:val="en-US"/>
        </w:rPr>
        <w:t xml:space="preserve">In forecasting the long-term primary energy consumption, we work with four different Shared Socioeconomic Pathway Scenarios (SSPs) developed for the IPCC framework, assuming different challenges to adaptation and mitigation. The countries included in our dataset give as of 2010 approximately 90% of the worldwide primary energy usage. </w:t>
      </w:r>
    </w:p>
    <w:p w:rsidR="00DC69F1" w:rsidRDefault="00DC69F1" w:rsidP="00DC69F1">
      <w:pPr>
        <w:pStyle w:val="berschrift2"/>
        <w:rPr>
          <w:i w:val="0"/>
          <w:sz w:val="24"/>
          <w:szCs w:val="24"/>
        </w:rPr>
      </w:pPr>
      <w:r w:rsidRPr="00D767DA">
        <w:rPr>
          <w:i w:val="0"/>
          <w:sz w:val="24"/>
          <w:szCs w:val="24"/>
        </w:rPr>
        <w:t>Results</w:t>
      </w:r>
    </w:p>
    <w:p w:rsidR="00273BC3" w:rsidRPr="00273BC3" w:rsidRDefault="00273BC3" w:rsidP="00CA5106">
      <w:pPr>
        <w:pStyle w:val="berschrift4"/>
        <w:contextualSpacing/>
        <w:jc w:val="both"/>
        <w:rPr>
          <w:rFonts w:ascii="Times New Roman" w:hAnsi="Times New Roman"/>
          <w:b/>
          <w:noProof/>
          <w:sz w:val="20"/>
          <w:lang w:val="en-US"/>
        </w:rPr>
      </w:pPr>
      <w:r w:rsidRPr="00273BC3">
        <w:rPr>
          <w:rFonts w:ascii="Times New Roman" w:hAnsi="Times New Roman"/>
          <w:sz w:val="20"/>
          <w:lang w:val="en-US"/>
        </w:rPr>
        <w:t xml:space="preserve">We find that in all scenarios, China, the United States and India will be the largest energy consumers, while highly growing countries such as Indonesia might also significantly contribute to energy use. Whether the steady growth in primary energy consumption slows or even declines by the end of the century, or shows an increasing path is the function of the different assumptions behind the Shared Socioeconomic Pathways. </w:t>
      </w:r>
    </w:p>
    <w:p w:rsidR="00DC69F1" w:rsidRPr="001D7189" w:rsidRDefault="00273BC3" w:rsidP="001D7189">
      <w:pPr>
        <w:spacing w:after="200"/>
        <w:jc w:val="both"/>
        <w:rPr>
          <w:noProof/>
          <w:lang w:val="en-US"/>
        </w:rPr>
      </w:pPr>
      <w:r w:rsidRPr="00273BC3">
        <w:rPr>
          <w:noProof/>
          <w:lang w:val="de-AT" w:eastAsia="de-AT"/>
        </w:rPr>
        <w:drawing>
          <wp:inline distT="0" distB="0" distL="0" distR="0">
            <wp:extent cx="5760720" cy="2795889"/>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60720" cy="2795889"/>
                    </a:xfrm>
                    <a:prstGeom prst="rect">
                      <a:avLst/>
                    </a:prstGeom>
                    <a:noFill/>
                    <a:ln w="9525">
                      <a:noFill/>
                      <a:miter lim="800000"/>
                      <a:headEnd/>
                      <a:tailEnd/>
                    </a:ln>
                  </pic:spPr>
                </pic:pic>
              </a:graphicData>
            </a:graphic>
          </wp:inline>
        </w:drawing>
      </w:r>
      <w:r w:rsidRPr="00273BC3">
        <w:rPr>
          <w:noProof/>
          <w:lang w:val="en-US"/>
        </w:rPr>
        <w:t xml:space="preserve">We observe for most scenarios a sharp mid-term increase in global energy consumption, followed by a levelling–out and a decrease towards the second half of the century. The reasons behind this pattern are not only slower population growth, but also infrastructure saturation and increased total factor productivity. </w:t>
      </w:r>
    </w:p>
    <w:p w:rsidR="00DC69F1" w:rsidRPr="00D767DA" w:rsidRDefault="00DC69F1" w:rsidP="00273BC3">
      <w:pPr>
        <w:pStyle w:val="berschrift2"/>
        <w:jc w:val="both"/>
        <w:rPr>
          <w:i w:val="0"/>
        </w:rPr>
      </w:pPr>
      <w:r w:rsidRPr="00D767DA">
        <w:rPr>
          <w:i w:val="0"/>
          <w:sz w:val="24"/>
          <w:szCs w:val="24"/>
        </w:rPr>
        <w:t>Conclusions</w:t>
      </w:r>
    </w:p>
    <w:p w:rsidR="00273BC3" w:rsidRPr="00273BC3" w:rsidRDefault="00273BC3" w:rsidP="00273BC3">
      <w:pPr>
        <w:spacing w:after="200"/>
        <w:jc w:val="both"/>
        <w:rPr>
          <w:noProof/>
          <w:lang w:val="en-US"/>
        </w:rPr>
      </w:pPr>
      <w:r>
        <w:rPr>
          <w:noProof/>
        </w:rPr>
        <w:t>A</w:t>
      </w:r>
      <w:r w:rsidRPr="00273BC3">
        <w:rPr>
          <w:noProof/>
          <w:lang w:val="en-US"/>
        </w:rPr>
        <w:t>s countries move towards more knowledge based societies, and higher energy efficiency, their primary energy usage is likely to decrease as a result. Global primary energy consumption is expected however to increase significantly in the coming decades, thus increasing the pressure on policy makers to cope with the questions of energy security and greenhouse gas mitigation at the same time.</w:t>
      </w:r>
    </w:p>
    <w:p w:rsidR="00DC69F1" w:rsidRDefault="00DC69F1">
      <w:pPr>
        <w:pStyle w:val="berschrift2"/>
        <w:rPr>
          <w:i w:val="0"/>
          <w:sz w:val="24"/>
          <w:szCs w:val="24"/>
        </w:rPr>
      </w:pPr>
      <w:r w:rsidRPr="00D767DA">
        <w:rPr>
          <w:i w:val="0"/>
          <w:sz w:val="24"/>
          <w:szCs w:val="24"/>
        </w:rPr>
        <w:lastRenderedPageBreak/>
        <w:t>References</w:t>
      </w:r>
    </w:p>
    <w:p w:rsidR="00273BC3" w:rsidRDefault="00273BC3" w:rsidP="00273BC3"/>
    <w:p w:rsidR="00273BC3" w:rsidRPr="00273BC3" w:rsidRDefault="00273BC3" w:rsidP="00273BC3">
      <w:pPr>
        <w:pStyle w:val="Listenabsatz"/>
        <w:numPr>
          <w:ilvl w:val="0"/>
          <w:numId w:val="26"/>
        </w:numPr>
        <w:autoSpaceDE w:val="0"/>
        <w:autoSpaceDN w:val="0"/>
        <w:adjustRightInd w:val="0"/>
        <w:ind w:left="360"/>
        <w:jc w:val="both"/>
        <w:rPr>
          <w:sz w:val="20"/>
          <w:szCs w:val="20"/>
          <w:lang w:val="en-US"/>
        </w:rPr>
      </w:pPr>
      <w:r w:rsidRPr="00273BC3">
        <w:rPr>
          <w:sz w:val="20"/>
          <w:szCs w:val="20"/>
          <w:lang w:val="en-US"/>
        </w:rPr>
        <w:t xml:space="preserve">Australian Government Bureau of Resources and Energy Economics (2011), Australian Energy Projections to 2034-35, ISBN 978-1-921812-78-1 (Online), </w:t>
      </w:r>
      <w:hyperlink r:id="rId10" w:history="1">
        <w:r w:rsidRPr="00273BC3">
          <w:rPr>
            <w:sz w:val="20"/>
            <w:szCs w:val="20"/>
            <w:lang w:val="en-US"/>
          </w:rPr>
          <w:t>www.bree.gov.au</w:t>
        </w:r>
      </w:hyperlink>
      <w:r w:rsidRPr="00273BC3">
        <w:rPr>
          <w:sz w:val="20"/>
          <w:szCs w:val="20"/>
          <w:lang w:val="en-US"/>
        </w:rPr>
        <w:t xml:space="preserve"> </w:t>
      </w:r>
    </w:p>
    <w:p w:rsidR="00273BC3" w:rsidRPr="00273BC3" w:rsidRDefault="00273BC3" w:rsidP="00273BC3">
      <w:pPr>
        <w:pStyle w:val="Listenabsatz"/>
        <w:numPr>
          <w:ilvl w:val="0"/>
          <w:numId w:val="26"/>
        </w:numPr>
        <w:autoSpaceDE w:val="0"/>
        <w:autoSpaceDN w:val="0"/>
        <w:adjustRightInd w:val="0"/>
        <w:ind w:left="360"/>
        <w:jc w:val="both"/>
        <w:rPr>
          <w:sz w:val="20"/>
          <w:szCs w:val="20"/>
          <w:lang w:val="en-US"/>
        </w:rPr>
      </w:pPr>
      <w:r w:rsidRPr="00273BC3">
        <w:rPr>
          <w:sz w:val="20"/>
          <w:szCs w:val="20"/>
          <w:lang w:val="en-US"/>
        </w:rPr>
        <w:t xml:space="preserve">Bernanke, B.S., R.S. </w:t>
      </w:r>
      <w:proofErr w:type="spellStart"/>
      <w:r w:rsidRPr="00273BC3">
        <w:rPr>
          <w:sz w:val="20"/>
          <w:szCs w:val="20"/>
          <w:lang w:val="en-US"/>
        </w:rPr>
        <w:t>Gurkaynak</w:t>
      </w:r>
      <w:proofErr w:type="spellEnd"/>
      <w:r w:rsidRPr="00273BC3">
        <w:rPr>
          <w:sz w:val="20"/>
          <w:szCs w:val="20"/>
          <w:lang w:val="en-US"/>
        </w:rPr>
        <w:t xml:space="preserve">. (2001). “Is Growth Exogenous? Taking </w:t>
      </w:r>
      <w:proofErr w:type="spellStart"/>
      <w:r w:rsidRPr="00273BC3">
        <w:rPr>
          <w:sz w:val="20"/>
          <w:szCs w:val="20"/>
          <w:lang w:val="en-US"/>
        </w:rPr>
        <w:t>Mankiw</w:t>
      </w:r>
      <w:proofErr w:type="spellEnd"/>
      <w:r w:rsidRPr="00273BC3">
        <w:rPr>
          <w:sz w:val="20"/>
          <w:szCs w:val="20"/>
          <w:lang w:val="en-US"/>
        </w:rPr>
        <w:t xml:space="preserve">, </w:t>
      </w:r>
      <w:proofErr w:type="spellStart"/>
      <w:r w:rsidRPr="00273BC3">
        <w:rPr>
          <w:sz w:val="20"/>
          <w:szCs w:val="20"/>
          <w:lang w:val="en-US"/>
        </w:rPr>
        <w:t>Romer</w:t>
      </w:r>
      <w:proofErr w:type="spellEnd"/>
      <w:r w:rsidRPr="00273BC3">
        <w:rPr>
          <w:sz w:val="20"/>
          <w:szCs w:val="20"/>
          <w:lang w:val="en-US"/>
        </w:rPr>
        <w:t>, and Weil Seriously,” NBER Macroeconomics Annual, 16: 11-57.</w:t>
      </w:r>
    </w:p>
    <w:p w:rsidR="00273BC3" w:rsidRPr="00273BC3" w:rsidRDefault="00273BC3" w:rsidP="00273BC3">
      <w:pPr>
        <w:pStyle w:val="Listenabsatz"/>
        <w:numPr>
          <w:ilvl w:val="0"/>
          <w:numId w:val="26"/>
        </w:numPr>
        <w:autoSpaceDE w:val="0"/>
        <w:autoSpaceDN w:val="0"/>
        <w:adjustRightInd w:val="0"/>
        <w:ind w:left="360"/>
        <w:jc w:val="both"/>
        <w:rPr>
          <w:sz w:val="20"/>
          <w:szCs w:val="20"/>
          <w:lang w:val="en-US"/>
        </w:rPr>
      </w:pPr>
      <w:r w:rsidRPr="00273BC3">
        <w:rPr>
          <w:sz w:val="20"/>
          <w:szCs w:val="20"/>
          <w:lang w:val="en-US"/>
        </w:rPr>
        <w:t xml:space="preserve">British Petrol (2011a) Statistical Review of World Energy (full report) </w:t>
      </w:r>
      <w:hyperlink r:id="rId11" w:history="1">
        <w:r w:rsidRPr="00273BC3">
          <w:rPr>
            <w:rStyle w:val="Hyperlink"/>
            <w:sz w:val="20"/>
            <w:szCs w:val="20"/>
            <w:lang w:val="en-US"/>
          </w:rPr>
          <w:t>www.bp.com</w:t>
        </w:r>
      </w:hyperlink>
      <w:r w:rsidRPr="00273BC3">
        <w:rPr>
          <w:sz w:val="20"/>
          <w:szCs w:val="20"/>
          <w:lang w:val="en-US"/>
        </w:rPr>
        <w:t xml:space="preserve">, (2011b) Energy Outlook 2030, British Petrol, </w:t>
      </w:r>
      <w:hyperlink r:id="rId12" w:history="1">
        <w:r w:rsidRPr="00273BC3">
          <w:rPr>
            <w:rStyle w:val="Hyperlink"/>
            <w:sz w:val="20"/>
            <w:szCs w:val="20"/>
            <w:lang w:val="en-US"/>
          </w:rPr>
          <w:t>www.bp.com</w:t>
        </w:r>
      </w:hyperlink>
      <w:r w:rsidRPr="00273BC3">
        <w:rPr>
          <w:sz w:val="20"/>
          <w:szCs w:val="20"/>
          <w:lang w:val="en-US"/>
        </w:rPr>
        <w:t xml:space="preserve"> (accessed December 2011) </w:t>
      </w:r>
    </w:p>
    <w:p w:rsidR="00273BC3" w:rsidRPr="00273BC3" w:rsidRDefault="00273BC3" w:rsidP="00273BC3">
      <w:pPr>
        <w:pStyle w:val="Listenabsatz"/>
        <w:numPr>
          <w:ilvl w:val="0"/>
          <w:numId w:val="26"/>
        </w:numPr>
        <w:autoSpaceDE w:val="0"/>
        <w:autoSpaceDN w:val="0"/>
        <w:adjustRightInd w:val="0"/>
        <w:ind w:left="360"/>
        <w:jc w:val="both"/>
        <w:rPr>
          <w:sz w:val="20"/>
          <w:szCs w:val="20"/>
          <w:lang w:val="en-US"/>
        </w:rPr>
      </w:pPr>
      <w:r w:rsidRPr="00273BC3">
        <w:rPr>
          <w:sz w:val="20"/>
          <w:szCs w:val="20"/>
          <w:lang w:val="en-US"/>
        </w:rPr>
        <w:t xml:space="preserve">Burke, P. J (2011) The National-Level Energy Ladder and its Carbon Implications, CCEP working paper 1116, Australian National University </w:t>
      </w:r>
    </w:p>
    <w:p w:rsidR="00273BC3" w:rsidRPr="00273BC3" w:rsidRDefault="00273BC3" w:rsidP="00273BC3">
      <w:pPr>
        <w:pStyle w:val="Listenabsatz"/>
        <w:numPr>
          <w:ilvl w:val="0"/>
          <w:numId w:val="26"/>
        </w:numPr>
        <w:autoSpaceDE w:val="0"/>
        <w:autoSpaceDN w:val="0"/>
        <w:adjustRightInd w:val="0"/>
        <w:ind w:left="360"/>
        <w:jc w:val="both"/>
        <w:rPr>
          <w:sz w:val="20"/>
          <w:szCs w:val="20"/>
          <w:lang w:val="en-US"/>
        </w:rPr>
      </w:pPr>
      <w:proofErr w:type="spellStart"/>
      <w:r w:rsidRPr="00273BC3">
        <w:rPr>
          <w:sz w:val="20"/>
          <w:szCs w:val="20"/>
          <w:lang w:val="en-US"/>
        </w:rPr>
        <w:t>Csereklyei</w:t>
      </w:r>
      <w:proofErr w:type="spellEnd"/>
      <w:r w:rsidRPr="00273BC3">
        <w:rPr>
          <w:sz w:val="20"/>
          <w:szCs w:val="20"/>
          <w:lang w:val="en-US"/>
        </w:rPr>
        <w:t xml:space="preserve"> Z., </w:t>
      </w:r>
      <w:proofErr w:type="spellStart"/>
      <w:r w:rsidRPr="00273BC3">
        <w:rPr>
          <w:sz w:val="20"/>
          <w:szCs w:val="20"/>
          <w:lang w:val="en-US"/>
        </w:rPr>
        <w:t>Humer</w:t>
      </w:r>
      <w:proofErr w:type="spellEnd"/>
      <w:r w:rsidRPr="00273BC3">
        <w:rPr>
          <w:sz w:val="20"/>
          <w:szCs w:val="20"/>
          <w:lang w:val="en-US"/>
        </w:rPr>
        <w:t xml:space="preserve">. S. (2012) </w:t>
      </w:r>
      <w:proofErr w:type="spellStart"/>
      <w:r w:rsidRPr="00273BC3">
        <w:rPr>
          <w:sz w:val="20"/>
          <w:szCs w:val="20"/>
          <w:lang w:val="en-US"/>
        </w:rPr>
        <w:t>Modelling</w:t>
      </w:r>
      <w:proofErr w:type="spellEnd"/>
      <w:r w:rsidRPr="00273BC3">
        <w:rPr>
          <w:sz w:val="20"/>
          <w:szCs w:val="20"/>
          <w:lang w:val="en-US"/>
        </w:rPr>
        <w:t xml:space="preserve"> Primary Energy Consumption under Model Uncertainty, WU Working Paper in Economics, Nr. 147, </w:t>
      </w:r>
      <w:hyperlink r:id="rId13" w:history="1">
        <w:r w:rsidRPr="00273BC3">
          <w:rPr>
            <w:sz w:val="20"/>
            <w:szCs w:val="20"/>
            <w:lang w:val="en-US"/>
          </w:rPr>
          <w:t>http://epub.wu.ac.at/3706/</w:t>
        </w:r>
      </w:hyperlink>
      <w:r w:rsidRPr="00273BC3">
        <w:rPr>
          <w:sz w:val="20"/>
          <w:szCs w:val="20"/>
          <w:lang w:val="en-US"/>
        </w:rPr>
        <w:t xml:space="preserve"> </w:t>
      </w:r>
    </w:p>
    <w:p w:rsidR="00273BC3" w:rsidRPr="00273BC3" w:rsidRDefault="00273BC3" w:rsidP="00273BC3">
      <w:pPr>
        <w:pStyle w:val="Listenabsatz"/>
        <w:numPr>
          <w:ilvl w:val="0"/>
          <w:numId w:val="26"/>
        </w:numPr>
        <w:ind w:left="360"/>
        <w:jc w:val="both"/>
        <w:rPr>
          <w:sz w:val="20"/>
          <w:szCs w:val="20"/>
          <w:lang w:val="en-US"/>
        </w:rPr>
      </w:pPr>
      <w:r w:rsidRPr="00273BC3">
        <w:rPr>
          <w:sz w:val="20"/>
          <w:szCs w:val="20"/>
          <w:lang w:val="en-US"/>
        </w:rPr>
        <w:t>Davidson, R., MacKinnon, J.G., (2009): Econometric Theory and Methods, Oxford University Press 2009, ISBN 978-0-19-539105-3</w:t>
      </w:r>
    </w:p>
    <w:p w:rsidR="00273BC3" w:rsidRPr="00273BC3" w:rsidRDefault="00273BC3" w:rsidP="00273BC3">
      <w:pPr>
        <w:pStyle w:val="Listenabsatz"/>
        <w:numPr>
          <w:ilvl w:val="0"/>
          <w:numId w:val="26"/>
        </w:numPr>
        <w:spacing w:after="343"/>
        <w:ind w:left="360"/>
        <w:jc w:val="both"/>
        <w:rPr>
          <w:sz w:val="20"/>
          <w:szCs w:val="20"/>
          <w:lang w:val="en-US"/>
        </w:rPr>
      </w:pPr>
      <w:proofErr w:type="spellStart"/>
      <w:r w:rsidRPr="00273BC3">
        <w:rPr>
          <w:sz w:val="20"/>
          <w:szCs w:val="20"/>
          <w:lang w:val="en-US"/>
        </w:rPr>
        <w:t>Deffeyes</w:t>
      </w:r>
      <w:proofErr w:type="spellEnd"/>
      <w:r w:rsidRPr="00273BC3">
        <w:rPr>
          <w:sz w:val="20"/>
          <w:szCs w:val="20"/>
          <w:lang w:val="en-US"/>
        </w:rPr>
        <w:t xml:space="preserve"> K.S, </w:t>
      </w:r>
      <w:proofErr w:type="spellStart"/>
      <w:r w:rsidRPr="00273BC3">
        <w:rPr>
          <w:sz w:val="20"/>
          <w:szCs w:val="20"/>
          <w:lang w:val="en-US"/>
        </w:rPr>
        <w:t>MacGregor</w:t>
      </w:r>
      <w:proofErr w:type="spellEnd"/>
      <w:r w:rsidRPr="00273BC3">
        <w:rPr>
          <w:sz w:val="20"/>
          <w:szCs w:val="20"/>
          <w:lang w:val="en-US"/>
        </w:rPr>
        <w:t xml:space="preserve">, I.D.(1980), World Uranium resources, Scientific American, </w:t>
      </w:r>
      <w:proofErr w:type="spellStart"/>
      <w:r w:rsidRPr="00273BC3">
        <w:rPr>
          <w:sz w:val="20"/>
          <w:szCs w:val="20"/>
          <w:lang w:val="en-US"/>
        </w:rPr>
        <w:t>Vol</w:t>
      </w:r>
      <w:proofErr w:type="spellEnd"/>
      <w:r w:rsidRPr="00273BC3">
        <w:rPr>
          <w:sz w:val="20"/>
          <w:szCs w:val="20"/>
          <w:lang w:val="en-US"/>
        </w:rPr>
        <w:t xml:space="preserve"> 242, No 1, January 1980, pp. 66-76.</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European Commission (2011): Assessment of the Required Share for a Stable EU Electricity Supply until 2050, Directorate-General for Energy, EUR 24996 ; (2011b): Investment needs for future adaptation measures in EU nuclear power plants and other electricity generation technologies due to effects of climate change, Directorate-General for Energy, EUR 24769; (2008): Market Observatory for Energy, Europe’s Energy Position, ISBN: 978-92-79-10036-9</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proofErr w:type="spellStart"/>
      <w:r w:rsidRPr="00273BC3">
        <w:rPr>
          <w:bCs/>
          <w:sz w:val="20"/>
          <w:szCs w:val="20"/>
          <w:lang w:val="en-US"/>
        </w:rPr>
        <w:t>Eurostat</w:t>
      </w:r>
      <w:proofErr w:type="spellEnd"/>
      <w:r w:rsidRPr="00273BC3">
        <w:rPr>
          <w:bCs/>
          <w:sz w:val="20"/>
          <w:szCs w:val="20"/>
          <w:lang w:val="en-US"/>
        </w:rPr>
        <w:t xml:space="preserve"> (2009), Panorama of Energy, ISBN 978-92-79-11151-8</w:t>
      </w:r>
    </w:p>
    <w:p w:rsidR="00273BC3" w:rsidRPr="00273BC3" w:rsidRDefault="00273BC3" w:rsidP="00273BC3">
      <w:pPr>
        <w:pStyle w:val="Listenabsatz"/>
        <w:numPr>
          <w:ilvl w:val="0"/>
          <w:numId w:val="26"/>
        </w:numPr>
        <w:shd w:val="clear" w:color="auto" w:fill="FFFFFF"/>
        <w:spacing w:beforeAutospacing="1" w:afterAutospacing="1"/>
        <w:ind w:left="360"/>
        <w:rPr>
          <w:bCs/>
          <w:sz w:val="20"/>
          <w:szCs w:val="20"/>
          <w:lang w:val="en-US"/>
        </w:rPr>
      </w:pPr>
      <w:r w:rsidRPr="00273BC3">
        <w:rPr>
          <w:bCs/>
          <w:sz w:val="20"/>
          <w:szCs w:val="20"/>
          <w:lang w:val="en-US"/>
        </w:rPr>
        <w:t xml:space="preserve">Hansen, J., Sato, M., </w:t>
      </w:r>
      <w:proofErr w:type="spellStart"/>
      <w:r w:rsidRPr="00273BC3">
        <w:rPr>
          <w:bCs/>
          <w:sz w:val="20"/>
          <w:szCs w:val="20"/>
          <w:lang w:val="en-US"/>
        </w:rPr>
        <w:t>Ruedy</w:t>
      </w:r>
      <w:proofErr w:type="spellEnd"/>
      <w:r w:rsidRPr="00273BC3">
        <w:rPr>
          <w:bCs/>
          <w:sz w:val="20"/>
          <w:szCs w:val="20"/>
          <w:lang w:val="en-US"/>
        </w:rPr>
        <w:t xml:space="preserve">, R. (2012) Perception of climate change, PNAS, August 6, 2012, DOI: </w:t>
      </w:r>
      <w:hyperlink r:id="rId14" w:history="1">
        <w:r w:rsidRPr="00273BC3">
          <w:rPr>
            <w:bCs/>
            <w:sz w:val="20"/>
            <w:szCs w:val="20"/>
            <w:lang w:val="en-US"/>
          </w:rPr>
          <w:t>www.pnas.org/cgi/doi/10.1073/pnas.1205276109</w:t>
        </w:r>
      </w:hyperlink>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International Energy  Agency  (2011): World Energy Outlook 2011, ISBN: 978 92 64 12413 4</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 xml:space="preserve">International Energy Agency (2008): Worldwide Trends in Energy Use and Efficiency </w:t>
      </w:r>
    </w:p>
    <w:p w:rsidR="00273BC3" w:rsidRPr="00273BC3" w:rsidRDefault="00273BC3" w:rsidP="00273BC3">
      <w:pPr>
        <w:pStyle w:val="Listenabsatz"/>
        <w:numPr>
          <w:ilvl w:val="0"/>
          <w:numId w:val="26"/>
        </w:numPr>
        <w:autoSpaceDE w:val="0"/>
        <w:autoSpaceDN w:val="0"/>
        <w:adjustRightInd w:val="0"/>
        <w:ind w:left="360"/>
        <w:rPr>
          <w:bCs/>
          <w:sz w:val="20"/>
          <w:szCs w:val="20"/>
          <w:lang w:val="en-US"/>
        </w:rPr>
      </w:pPr>
      <w:r w:rsidRPr="00273BC3">
        <w:rPr>
          <w:bCs/>
          <w:sz w:val="20"/>
          <w:szCs w:val="20"/>
          <w:lang w:val="en-US"/>
        </w:rPr>
        <w:t xml:space="preserve">International Energy  Agency (2012): Energy Technology Perspectives 2012, ISBN: 978-92-64-17488-7, www.iea.org/etp </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 xml:space="preserve">IIASA (2012): Global Energy Assessment Scenario Database: </w:t>
      </w:r>
      <w:hyperlink r:id="rId15" w:history="1">
        <w:r w:rsidRPr="00273BC3">
          <w:rPr>
            <w:rStyle w:val="Hyperlink"/>
            <w:bCs/>
            <w:sz w:val="20"/>
            <w:szCs w:val="20"/>
            <w:lang w:val="en-US"/>
          </w:rPr>
          <w:t>http://www.iiasa.ac.at/web-apps/ene/geadb/dsd?Action=htmlpage&amp;page=about</w:t>
        </w:r>
      </w:hyperlink>
      <w:r w:rsidRPr="00273BC3">
        <w:rPr>
          <w:bCs/>
          <w:sz w:val="20"/>
          <w:szCs w:val="20"/>
          <w:lang w:val="en-US"/>
        </w:rPr>
        <w:t xml:space="preserve"> </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International Monetary Fund (2011):  World Economic Outlook 2011, ISBN 978-1-61635-059-8</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IPCC (2011):  IPCC Special Report on Renewable  Energy Sources and Climate Change Mitigation, ISBN 978-1-107-02340-6</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proofErr w:type="spellStart"/>
      <w:r w:rsidRPr="00273BC3">
        <w:rPr>
          <w:bCs/>
          <w:sz w:val="20"/>
          <w:szCs w:val="20"/>
          <w:lang w:val="en-US"/>
        </w:rPr>
        <w:t>Jakob</w:t>
      </w:r>
      <w:proofErr w:type="spellEnd"/>
      <w:r w:rsidRPr="00273BC3">
        <w:rPr>
          <w:bCs/>
          <w:sz w:val="20"/>
          <w:szCs w:val="20"/>
          <w:lang w:val="en-US"/>
        </w:rPr>
        <w:t xml:space="preserve"> M., Haller, M., </w:t>
      </w:r>
      <w:proofErr w:type="spellStart"/>
      <w:r w:rsidRPr="00273BC3">
        <w:rPr>
          <w:bCs/>
          <w:sz w:val="20"/>
          <w:szCs w:val="20"/>
          <w:lang w:val="en-US"/>
        </w:rPr>
        <w:t>Marschinski</w:t>
      </w:r>
      <w:proofErr w:type="spellEnd"/>
      <w:r w:rsidRPr="00273BC3">
        <w:rPr>
          <w:bCs/>
          <w:sz w:val="20"/>
          <w:szCs w:val="20"/>
          <w:lang w:val="en-US"/>
        </w:rPr>
        <w:t xml:space="preserve"> R. (2012) Will </w:t>
      </w:r>
      <w:proofErr w:type="gramStart"/>
      <w:r w:rsidRPr="00273BC3">
        <w:rPr>
          <w:bCs/>
          <w:sz w:val="20"/>
          <w:szCs w:val="20"/>
          <w:lang w:val="en-US"/>
        </w:rPr>
        <w:t>history repeat</w:t>
      </w:r>
      <w:proofErr w:type="gramEnd"/>
      <w:r w:rsidRPr="00273BC3">
        <w:rPr>
          <w:bCs/>
          <w:sz w:val="20"/>
          <w:szCs w:val="20"/>
          <w:lang w:val="en-US"/>
        </w:rPr>
        <w:t xml:space="preserve"> itself? Economic convergence in energy use patterns , Energy Economics 34 (2012), 95-104</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proofErr w:type="spellStart"/>
      <w:r w:rsidRPr="00273BC3">
        <w:rPr>
          <w:bCs/>
          <w:sz w:val="20"/>
          <w:szCs w:val="20"/>
          <w:lang w:val="en-US"/>
        </w:rPr>
        <w:t>Jakob</w:t>
      </w:r>
      <w:proofErr w:type="spellEnd"/>
      <w:r w:rsidRPr="00273BC3">
        <w:rPr>
          <w:bCs/>
          <w:sz w:val="20"/>
          <w:szCs w:val="20"/>
          <w:lang w:val="en-US"/>
        </w:rPr>
        <w:t xml:space="preserve"> M., </w:t>
      </w:r>
      <w:proofErr w:type="spellStart"/>
      <w:r w:rsidRPr="00273BC3">
        <w:rPr>
          <w:bCs/>
          <w:sz w:val="20"/>
          <w:szCs w:val="20"/>
          <w:lang w:val="en-US"/>
        </w:rPr>
        <w:t>Luderer</w:t>
      </w:r>
      <w:proofErr w:type="spellEnd"/>
      <w:r w:rsidRPr="00273BC3">
        <w:rPr>
          <w:bCs/>
          <w:sz w:val="20"/>
          <w:szCs w:val="20"/>
          <w:lang w:val="en-US"/>
        </w:rPr>
        <w:t>, G.</w:t>
      </w:r>
      <w:proofErr w:type="gramStart"/>
      <w:r w:rsidRPr="00273BC3">
        <w:rPr>
          <w:bCs/>
          <w:sz w:val="20"/>
          <w:szCs w:val="20"/>
          <w:lang w:val="en-US"/>
        </w:rPr>
        <w:t xml:space="preserve">,  </w:t>
      </w:r>
      <w:proofErr w:type="spellStart"/>
      <w:r w:rsidRPr="00273BC3">
        <w:rPr>
          <w:bCs/>
          <w:sz w:val="20"/>
          <w:szCs w:val="20"/>
          <w:lang w:val="en-US"/>
        </w:rPr>
        <w:t>Steckel</w:t>
      </w:r>
      <w:proofErr w:type="spellEnd"/>
      <w:proofErr w:type="gramEnd"/>
      <w:r w:rsidRPr="00273BC3">
        <w:rPr>
          <w:bCs/>
          <w:sz w:val="20"/>
          <w:szCs w:val="20"/>
          <w:lang w:val="en-US"/>
        </w:rPr>
        <w:t xml:space="preserve">, J., </w:t>
      </w:r>
      <w:proofErr w:type="spellStart"/>
      <w:r w:rsidRPr="00273BC3">
        <w:rPr>
          <w:bCs/>
          <w:sz w:val="20"/>
          <w:szCs w:val="20"/>
          <w:lang w:val="en-US"/>
        </w:rPr>
        <w:t>Tavoni</w:t>
      </w:r>
      <w:proofErr w:type="spellEnd"/>
      <w:r w:rsidRPr="00273BC3">
        <w:rPr>
          <w:bCs/>
          <w:sz w:val="20"/>
          <w:szCs w:val="20"/>
          <w:lang w:val="en-US"/>
        </w:rPr>
        <w:t xml:space="preserve">, M. and </w:t>
      </w:r>
      <w:proofErr w:type="spellStart"/>
      <w:r w:rsidRPr="00273BC3">
        <w:rPr>
          <w:bCs/>
          <w:sz w:val="20"/>
          <w:szCs w:val="20"/>
          <w:lang w:val="en-US"/>
        </w:rPr>
        <w:t>Monjon</w:t>
      </w:r>
      <w:proofErr w:type="spellEnd"/>
      <w:r w:rsidRPr="00273BC3">
        <w:rPr>
          <w:bCs/>
          <w:sz w:val="20"/>
          <w:szCs w:val="20"/>
          <w:lang w:val="en-US"/>
        </w:rPr>
        <w:t xml:space="preserve"> S. (2012) Time to act now? Assessing the costs of delaying climate measures and benefits of early action, </w:t>
      </w:r>
      <w:hyperlink r:id="rId16" w:history="1">
        <w:r w:rsidRPr="00273BC3">
          <w:rPr>
            <w:rStyle w:val="Hyperlink"/>
            <w:bCs/>
            <w:sz w:val="20"/>
            <w:szCs w:val="20"/>
            <w:lang w:val="en-US"/>
          </w:rPr>
          <w:t>www.pik-potsdam.de</w:t>
        </w:r>
      </w:hyperlink>
      <w:r w:rsidRPr="00273BC3">
        <w:rPr>
          <w:bCs/>
          <w:sz w:val="20"/>
          <w:szCs w:val="20"/>
          <w:lang w:val="en-US"/>
        </w:rPr>
        <w:t xml:space="preserve"> </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proofErr w:type="spellStart"/>
      <w:r w:rsidRPr="00273BC3">
        <w:rPr>
          <w:bCs/>
          <w:sz w:val="20"/>
          <w:szCs w:val="20"/>
          <w:lang w:val="en-US"/>
        </w:rPr>
        <w:t>Kriegler</w:t>
      </w:r>
      <w:proofErr w:type="spellEnd"/>
      <w:r w:rsidRPr="00273BC3">
        <w:rPr>
          <w:bCs/>
          <w:sz w:val="20"/>
          <w:szCs w:val="20"/>
          <w:lang w:val="en-US"/>
        </w:rPr>
        <w:t xml:space="preserve">, E., O’Neill B.C., </w:t>
      </w:r>
      <w:proofErr w:type="spellStart"/>
      <w:r w:rsidRPr="00273BC3">
        <w:rPr>
          <w:bCs/>
          <w:sz w:val="20"/>
          <w:szCs w:val="20"/>
          <w:lang w:val="en-US"/>
        </w:rPr>
        <w:t>Hallegatte</w:t>
      </w:r>
      <w:proofErr w:type="spellEnd"/>
      <w:r w:rsidRPr="00273BC3">
        <w:rPr>
          <w:bCs/>
          <w:sz w:val="20"/>
          <w:szCs w:val="20"/>
          <w:lang w:val="en-US"/>
        </w:rPr>
        <w:t xml:space="preserve">, S., </w:t>
      </w:r>
      <w:proofErr w:type="spellStart"/>
      <w:r w:rsidRPr="00273BC3">
        <w:rPr>
          <w:bCs/>
          <w:sz w:val="20"/>
          <w:szCs w:val="20"/>
          <w:lang w:val="en-US"/>
        </w:rPr>
        <w:t>Kram</w:t>
      </w:r>
      <w:proofErr w:type="spellEnd"/>
      <w:r w:rsidRPr="00273BC3">
        <w:rPr>
          <w:bCs/>
          <w:sz w:val="20"/>
          <w:szCs w:val="20"/>
          <w:lang w:val="en-US"/>
        </w:rPr>
        <w:t xml:space="preserve">, T.,  Moss, R.H., </w:t>
      </w:r>
      <w:proofErr w:type="spellStart"/>
      <w:r w:rsidRPr="00273BC3">
        <w:rPr>
          <w:bCs/>
          <w:sz w:val="20"/>
          <w:szCs w:val="20"/>
          <w:lang w:val="en-US"/>
        </w:rPr>
        <w:t>Lempert</w:t>
      </w:r>
      <w:proofErr w:type="spellEnd"/>
      <w:r w:rsidRPr="00273BC3">
        <w:rPr>
          <w:bCs/>
          <w:sz w:val="20"/>
          <w:szCs w:val="20"/>
          <w:lang w:val="en-US"/>
        </w:rPr>
        <w:t xml:space="preserve">, R.,  </w:t>
      </w:r>
      <w:proofErr w:type="spellStart"/>
      <w:r w:rsidRPr="00273BC3">
        <w:rPr>
          <w:bCs/>
          <w:sz w:val="20"/>
          <w:szCs w:val="20"/>
          <w:lang w:val="en-US"/>
        </w:rPr>
        <w:t>Wilbanks</w:t>
      </w:r>
      <w:proofErr w:type="spellEnd"/>
      <w:r w:rsidRPr="00273BC3">
        <w:rPr>
          <w:bCs/>
          <w:sz w:val="20"/>
          <w:szCs w:val="20"/>
          <w:lang w:val="en-US"/>
        </w:rPr>
        <w:t xml:space="preserve">, T.J., (2010): Socio-economic Scenario Development  for Climate Change Analysis, C.I.R.E.D Working Paper No 23-2010 </w:t>
      </w:r>
    </w:p>
    <w:p w:rsidR="00273BC3" w:rsidRPr="00273BC3" w:rsidRDefault="00273BC3" w:rsidP="00273BC3">
      <w:pPr>
        <w:pStyle w:val="Listenabsatz"/>
        <w:numPr>
          <w:ilvl w:val="0"/>
          <w:numId w:val="26"/>
        </w:numPr>
        <w:autoSpaceDE w:val="0"/>
        <w:autoSpaceDN w:val="0"/>
        <w:adjustRightInd w:val="0"/>
        <w:ind w:left="360"/>
        <w:rPr>
          <w:bCs/>
          <w:sz w:val="20"/>
          <w:szCs w:val="20"/>
          <w:lang w:val="en-US"/>
        </w:rPr>
      </w:pPr>
      <w:r w:rsidRPr="00273BC3">
        <w:rPr>
          <w:bCs/>
          <w:sz w:val="20"/>
          <w:szCs w:val="20"/>
          <w:lang w:val="en-US"/>
        </w:rPr>
        <w:t xml:space="preserve">Lopez, A., Roberts, B., </w:t>
      </w:r>
      <w:proofErr w:type="spellStart"/>
      <w:r w:rsidRPr="00273BC3">
        <w:rPr>
          <w:bCs/>
          <w:sz w:val="20"/>
          <w:szCs w:val="20"/>
          <w:lang w:val="en-US"/>
        </w:rPr>
        <w:t>Heimiller</w:t>
      </w:r>
      <w:proofErr w:type="spellEnd"/>
      <w:r w:rsidRPr="00273BC3">
        <w:rPr>
          <w:bCs/>
          <w:sz w:val="20"/>
          <w:szCs w:val="20"/>
          <w:lang w:val="en-US"/>
        </w:rPr>
        <w:t>, D., Blair, N.</w:t>
      </w:r>
      <w:proofErr w:type="gramStart"/>
      <w:r w:rsidRPr="00273BC3">
        <w:rPr>
          <w:bCs/>
          <w:sz w:val="20"/>
          <w:szCs w:val="20"/>
          <w:lang w:val="en-US"/>
        </w:rPr>
        <w:t>,  and</w:t>
      </w:r>
      <w:proofErr w:type="gramEnd"/>
      <w:r w:rsidRPr="00273BC3">
        <w:rPr>
          <w:bCs/>
          <w:sz w:val="20"/>
          <w:szCs w:val="20"/>
          <w:lang w:val="en-US"/>
        </w:rPr>
        <w:t xml:space="preserve"> </w:t>
      </w:r>
      <w:proofErr w:type="spellStart"/>
      <w:r w:rsidRPr="00273BC3">
        <w:rPr>
          <w:bCs/>
          <w:sz w:val="20"/>
          <w:szCs w:val="20"/>
          <w:lang w:val="en-US"/>
        </w:rPr>
        <w:t>Porro</w:t>
      </w:r>
      <w:proofErr w:type="spellEnd"/>
      <w:r w:rsidRPr="00273BC3">
        <w:rPr>
          <w:bCs/>
          <w:sz w:val="20"/>
          <w:szCs w:val="20"/>
          <w:lang w:val="en-US"/>
        </w:rPr>
        <w:t xml:space="preserve">, G., (2011): U.S. Renewable Energy Technical Potentials: A GIS-Based Analysis, Technical Report , NREL/TP-6A20-51946, Prepared under Task Nos. SA10.1012 and SA10.20A4, </w:t>
      </w:r>
      <w:hyperlink r:id="rId17" w:history="1">
        <w:r w:rsidRPr="00273BC3">
          <w:rPr>
            <w:rStyle w:val="Hyperlink"/>
            <w:bCs/>
            <w:sz w:val="20"/>
            <w:szCs w:val="20"/>
            <w:lang w:val="en-US"/>
          </w:rPr>
          <w:t>www.nrel.gov</w:t>
        </w:r>
      </w:hyperlink>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Massachusetts Institute of Technology (2011): The Future of the Nuclear Fuel Cycle, an interdisciplinary MIT Study ISBN: 978-0-9828008-4-3</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Massachusetts Institute of Technology (2003): The Future of the Nuclear Power, an interdisciplinary MIT Study ISBN: 0-615-12420-8</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Massachusetts Institute of Technology (2007): The Future of Coal,  ISBN 978-0-615-14092-6</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 xml:space="preserve">Massachusetts Institute of Technology (2010) The Future of Natural  Gas,  ISBN </w:t>
      </w:r>
      <w:r w:rsidRPr="00273BC3">
        <w:rPr>
          <w:rStyle w:val="st"/>
          <w:sz w:val="20"/>
          <w:szCs w:val="20"/>
          <w:lang w:val="en-US"/>
        </w:rPr>
        <w:t>978-0-9828008-0-5</w:t>
      </w:r>
      <w:r w:rsidRPr="00273BC3">
        <w:rPr>
          <w:bCs/>
          <w:sz w:val="20"/>
          <w:szCs w:val="20"/>
          <w:lang w:val="en-US"/>
        </w:rPr>
        <w:t xml:space="preserve"> </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 xml:space="preserve">Rubinstein, J.L., Ellsworth W.L., </w:t>
      </w:r>
      <w:proofErr w:type="spellStart"/>
      <w:r w:rsidRPr="00273BC3">
        <w:rPr>
          <w:bCs/>
          <w:sz w:val="20"/>
          <w:szCs w:val="20"/>
          <w:lang w:val="en-US"/>
        </w:rPr>
        <w:t>McGarr</w:t>
      </w:r>
      <w:proofErr w:type="spellEnd"/>
      <w:r w:rsidRPr="00273BC3">
        <w:rPr>
          <w:bCs/>
          <w:sz w:val="20"/>
          <w:szCs w:val="20"/>
          <w:lang w:val="en-US"/>
        </w:rPr>
        <w:t xml:space="preserve"> A.,  (2012) </w:t>
      </w:r>
      <w:proofErr w:type="spellStart"/>
      <w:r w:rsidRPr="00273BC3">
        <w:rPr>
          <w:bCs/>
          <w:sz w:val="20"/>
          <w:szCs w:val="20"/>
          <w:lang w:val="en-US"/>
        </w:rPr>
        <w:t>Signficant</w:t>
      </w:r>
      <w:proofErr w:type="spellEnd"/>
      <w:r w:rsidRPr="00273BC3">
        <w:rPr>
          <w:bCs/>
          <w:sz w:val="20"/>
          <w:szCs w:val="20"/>
          <w:lang w:val="en-US"/>
        </w:rPr>
        <w:t xml:space="preserve"> (induced?) earthquakes in the Central and Eastern US since 2008, USGS</w:t>
      </w:r>
    </w:p>
    <w:p w:rsidR="00273BC3" w:rsidRPr="00273BC3" w:rsidRDefault="00273BC3" w:rsidP="00273BC3">
      <w:pPr>
        <w:pStyle w:val="Listenabsatz"/>
        <w:numPr>
          <w:ilvl w:val="0"/>
          <w:numId w:val="26"/>
        </w:numPr>
        <w:autoSpaceDE w:val="0"/>
        <w:autoSpaceDN w:val="0"/>
        <w:adjustRightInd w:val="0"/>
        <w:ind w:left="360"/>
        <w:jc w:val="both"/>
        <w:rPr>
          <w:sz w:val="20"/>
          <w:szCs w:val="20"/>
          <w:lang w:val="en-US"/>
        </w:rPr>
      </w:pPr>
      <w:r w:rsidRPr="00273BC3">
        <w:rPr>
          <w:bCs/>
          <w:sz w:val="20"/>
          <w:szCs w:val="20"/>
          <w:lang w:val="en-US"/>
        </w:rPr>
        <w:t xml:space="preserve">Schaeffer M., Hare, W., </w:t>
      </w:r>
      <w:proofErr w:type="spellStart"/>
      <w:r w:rsidRPr="00273BC3">
        <w:rPr>
          <w:bCs/>
          <w:sz w:val="20"/>
          <w:szCs w:val="20"/>
          <w:lang w:val="en-US"/>
        </w:rPr>
        <w:t>Rahmstorf</w:t>
      </w:r>
      <w:proofErr w:type="spellEnd"/>
      <w:r w:rsidRPr="00273BC3">
        <w:rPr>
          <w:bCs/>
          <w:sz w:val="20"/>
          <w:szCs w:val="20"/>
          <w:lang w:val="en-US"/>
        </w:rPr>
        <w:t xml:space="preserve">, S., </w:t>
      </w:r>
      <w:r w:rsidRPr="00273BC3">
        <w:rPr>
          <w:sz w:val="20"/>
          <w:szCs w:val="20"/>
          <w:lang w:val="en-US"/>
        </w:rPr>
        <w:t>Vermeer M, (2012), Long-term sea-level rise implied by 1,5 °C and 2 °C warming levels, Nature Climate Change, PUBLISHED ONLINE: 24 JUNE 2012 | DOI: 10.1038/NCLIMATE1584</w:t>
      </w:r>
    </w:p>
    <w:p w:rsidR="00273BC3" w:rsidRPr="00273BC3" w:rsidRDefault="00273BC3" w:rsidP="00273BC3">
      <w:pPr>
        <w:pStyle w:val="StandardWeb"/>
        <w:numPr>
          <w:ilvl w:val="0"/>
          <w:numId w:val="26"/>
        </w:numPr>
        <w:spacing w:before="0" w:beforeAutospacing="0" w:after="0" w:afterAutospacing="0"/>
        <w:ind w:left="360"/>
        <w:jc w:val="both"/>
        <w:rPr>
          <w:sz w:val="20"/>
          <w:szCs w:val="20"/>
          <w:lang w:val="en-US"/>
        </w:rPr>
      </w:pPr>
      <w:r w:rsidRPr="00273BC3">
        <w:rPr>
          <w:sz w:val="20"/>
          <w:szCs w:val="20"/>
          <w:lang w:val="en-US"/>
        </w:rPr>
        <w:t>Stern, N. (2007) The economics of climate change, Cambridge University Press, ISBN:9780521700801</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United States Energy Information Administration (2012) Annual Energy Outlook 2012 with Projections to 2035, DOE/EIA-0383(2012)</w:t>
      </w:r>
    </w:p>
    <w:p w:rsidR="00273BC3" w:rsidRPr="00273BC3" w:rsidRDefault="00273BC3" w:rsidP="00273BC3">
      <w:pPr>
        <w:pStyle w:val="Listenabsatz"/>
        <w:numPr>
          <w:ilvl w:val="0"/>
          <w:numId w:val="26"/>
        </w:numPr>
        <w:autoSpaceDE w:val="0"/>
        <w:autoSpaceDN w:val="0"/>
        <w:adjustRightInd w:val="0"/>
        <w:ind w:left="360"/>
        <w:jc w:val="both"/>
        <w:rPr>
          <w:bCs/>
          <w:sz w:val="20"/>
          <w:szCs w:val="20"/>
          <w:lang w:val="en-US"/>
        </w:rPr>
      </w:pPr>
      <w:r w:rsidRPr="00273BC3">
        <w:rPr>
          <w:bCs/>
          <w:sz w:val="20"/>
          <w:szCs w:val="20"/>
          <w:lang w:val="en-US"/>
        </w:rPr>
        <w:t xml:space="preserve">Vienna University of Technology (2011), Economic Perspectives of Renewable Energy Systems, Energy Economics Group, </w:t>
      </w:r>
      <w:hyperlink r:id="rId18" w:history="1">
        <w:r w:rsidRPr="00273BC3">
          <w:rPr>
            <w:rStyle w:val="Hyperlink"/>
            <w:bCs/>
            <w:sz w:val="20"/>
            <w:szCs w:val="20"/>
            <w:lang w:val="en-US"/>
          </w:rPr>
          <w:t>www.eeg.tuwien.ac.at</w:t>
        </w:r>
      </w:hyperlink>
      <w:r w:rsidRPr="00273BC3">
        <w:rPr>
          <w:bCs/>
          <w:sz w:val="20"/>
          <w:szCs w:val="20"/>
          <w:lang w:val="en-US"/>
        </w:rPr>
        <w:t>, accessed October 2011</w:t>
      </w:r>
    </w:p>
    <w:p w:rsidR="00273BC3" w:rsidRPr="00273BC3" w:rsidRDefault="00273BC3" w:rsidP="00273BC3">
      <w:pPr>
        <w:pStyle w:val="StandardWeb"/>
        <w:numPr>
          <w:ilvl w:val="0"/>
          <w:numId w:val="26"/>
        </w:numPr>
        <w:spacing w:before="0" w:beforeAutospacing="0" w:after="0" w:afterAutospacing="0"/>
        <w:ind w:left="360"/>
        <w:jc w:val="both"/>
        <w:rPr>
          <w:sz w:val="20"/>
          <w:szCs w:val="20"/>
          <w:lang w:val="en-US"/>
        </w:rPr>
      </w:pPr>
      <w:r w:rsidRPr="00273BC3">
        <w:rPr>
          <w:sz w:val="20"/>
          <w:szCs w:val="20"/>
          <w:lang w:val="en-US"/>
        </w:rPr>
        <w:t>Weitzman, M.L (2009) On Modeling and Interpreting the Economics of Catastrophic Climate Change, The Review of Economics and Statistics, Vol. 91, No.1, pp 1-19, doi:10.1162/rest.91.1.1</w:t>
      </w:r>
    </w:p>
    <w:p w:rsidR="00273BC3" w:rsidRPr="001D7189" w:rsidRDefault="00273BC3" w:rsidP="00273BC3">
      <w:pPr>
        <w:pStyle w:val="Listenabsatz"/>
        <w:numPr>
          <w:ilvl w:val="0"/>
          <w:numId w:val="26"/>
        </w:numPr>
        <w:autoSpaceDE w:val="0"/>
        <w:autoSpaceDN w:val="0"/>
        <w:adjustRightInd w:val="0"/>
        <w:ind w:left="360"/>
        <w:jc w:val="both"/>
        <w:rPr>
          <w:rFonts w:ascii="Arial" w:hAnsi="Arial" w:cs="Arial"/>
          <w:bCs/>
          <w:sz w:val="20"/>
          <w:szCs w:val="20"/>
          <w:lang w:val="en-US"/>
        </w:rPr>
      </w:pPr>
      <w:proofErr w:type="spellStart"/>
      <w:r w:rsidRPr="00273BC3">
        <w:rPr>
          <w:bCs/>
          <w:sz w:val="20"/>
          <w:szCs w:val="20"/>
          <w:lang w:val="en-US"/>
        </w:rPr>
        <w:t>Zobak</w:t>
      </w:r>
      <w:proofErr w:type="spellEnd"/>
      <w:r w:rsidRPr="00273BC3">
        <w:rPr>
          <w:bCs/>
          <w:sz w:val="20"/>
          <w:szCs w:val="20"/>
          <w:lang w:val="en-US"/>
        </w:rPr>
        <w:t xml:space="preserve">, M.D., </w:t>
      </w:r>
      <w:proofErr w:type="spellStart"/>
      <w:r w:rsidRPr="00273BC3">
        <w:rPr>
          <w:bCs/>
          <w:sz w:val="20"/>
          <w:szCs w:val="20"/>
          <w:lang w:val="en-US"/>
        </w:rPr>
        <w:t>Gorelick</w:t>
      </w:r>
      <w:proofErr w:type="spellEnd"/>
      <w:r w:rsidRPr="00273BC3">
        <w:rPr>
          <w:bCs/>
          <w:sz w:val="20"/>
          <w:szCs w:val="20"/>
          <w:lang w:val="en-US"/>
        </w:rPr>
        <w:t xml:space="preserve">, S.M., (2012) Earthquake triggering and large-scale geologic storage of carbon dioxide, PNAS </w:t>
      </w:r>
      <w:hyperlink r:id="rId19" w:history="1">
        <w:r w:rsidRPr="00273BC3">
          <w:rPr>
            <w:rStyle w:val="Hyperlink"/>
            <w:bCs/>
            <w:sz w:val="20"/>
            <w:szCs w:val="20"/>
            <w:lang w:val="en-US"/>
          </w:rPr>
          <w:t>www.pnas.org/cgi/doi/10.1073/pnas.1202473109</w:t>
        </w:r>
      </w:hyperlink>
      <w:r w:rsidRPr="008C5D83">
        <w:rPr>
          <w:rFonts w:ascii="Arial" w:hAnsi="Arial" w:cs="Arial"/>
          <w:bCs/>
          <w:sz w:val="20"/>
          <w:szCs w:val="20"/>
          <w:lang w:val="en-US"/>
        </w:rPr>
        <w:t xml:space="preserve"> </w:t>
      </w:r>
    </w:p>
    <w:sectPr w:rsidR="00273BC3" w:rsidRPr="001D7189" w:rsidSect="00FC73E0">
      <w:headerReference w:type="first" r:id="rId20"/>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4EF" w:rsidRDefault="00F824EF">
      <w:r>
        <w:separator/>
      </w:r>
    </w:p>
  </w:endnote>
  <w:endnote w:type="continuationSeparator" w:id="0">
    <w:p w:rsidR="00F824EF" w:rsidRDefault="00F82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4EF" w:rsidRDefault="00F824EF">
      <w:r>
        <w:separator/>
      </w:r>
    </w:p>
  </w:footnote>
  <w:footnote w:type="continuationSeparator" w:id="0">
    <w:p w:rsidR="00F824EF" w:rsidRDefault="00F82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C4" w:rsidRDefault="001A7CC4" w:rsidP="00DC69F1">
    <w:pPr>
      <w:pStyle w:val="Kopfzeile"/>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71400356"/>
    <w:multiLevelType w:val="hybridMultilevel"/>
    <w:tmpl w:val="4AA622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4"/>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F29E4"/>
    <w:rsid w:val="001A7CC4"/>
    <w:rsid w:val="001D7189"/>
    <w:rsid w:val="00273BC3"/>
    <w:rsid w:val="00326D3A"/>
    <w:rsid w:val="004C048E"/>
    <w:rsid w:val="004D01B1"/>
    <w:rsid w:val="005A5112"/>
    <w:rsid w:val="009B581D"/>
    <w:rsid w:val="00A96D21"/>
    <w:rsid w:val="00B02B7D"/>
    <w:rsid w:val="00B93DB0"/>
    <w:rsid w:val="00BB0295"/>
    <w:rsid w:val="00C531E2"/>
    <w:rsid w:val="00CA0507"/>
    <w:rsid w:val="00CA5106"/>
    <w:rsid w:val="00DC69F1"/>
    <w:rsid w:val="00DD0B3B"/>
    <w:rsid w:val="00E046B2"/>
    <w:rsid w:val="00E9636B"/>
    <w:rsid w:val="00EE5954"/>
    <w:rsid w:val="00F344CF"/>
    <w:rsid w:val="00F824EF"/>
    <w:rsid w:val="00FA43B3"/>
    <w:rsid w:val="00FC73E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20">
    <w:name w:val="Body Text 2"/>
    <w:basedOn w:val="Standard"/>
    <w:pPr>
      <w:ind w:firstLine="360"/>
      <w:jc w:val="both"/>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273BC3"/>
    <w:rPr>
      <w:rFonts w:ascii="Tahoma" w:hAnsi="Tahoma" w:cs="Tahoma"/>
      <w:sz w:val="16"/>
      <w:szCs w:val="16"/>
    </w:rPr>
  </w:style>
  <w:style w:type="character" w:customStyle="1" w:styleId="SprechblasentextZchn">
    <w:name w:val="Sprechblasentext Zchn"/>
    <w:basedOn w:val="Absatz-Standardschriftart"/>
    <w:link w:val="Sprechblasentext"/>
    <w:rsid w:val="00273BC3"/>
    <w:rPr>
      <w:rFonts w:ascii="Tahoma" w:hAnsi="Tahoma" w:cs="Tahoma"/>
      <w:sz w:val="16"/>
      <w:szCs w:val="16"/>
      <w:lang w:val="en-GB" w:eastAsia="en-US"/>
    </w:rPr>
  </w:style>
  <w:style w:type="character" w:customStyle="1" w:styleId="st">
    <w:name w:val="st"/>
    <w:basedOn w:val="Absatz-Standardschriftart"/>
    <w:rsid w:val="00273BC3"/>
  </w:style>
  <w:style w:type="paragraph" w:styleId="StandardWeb">
    <w:name w:val="Normal (Web)"/>
    <w:basedOn w:val="Standard"/>
    <w:uiPriority w:val="99"/>
    <w:unhideWhenUsed/>
    <w:rsid w:val="00273BC3"/>
    <w:pPr>
      <w:spacing w:before="100" w:beforeAutospacing="1" w:after="100" w:afterAutospacing="1"/>
    </w:pPr>
    <w:rPr>
      <w:sz w:val="24"/>
      <w:szCs w:val="24"/>
      <w:lang w:val="de-AT" w:eastAsia="de-AT"/>
    </w:rPr>
  </w:style>
  <w:style w:type="paragraph" w:styleId="Listenabsatz">
    <w:name w:val="List Paragraph"/>
    <w:basedOn w:val="Standard"/>
    <w:uiPriority w:val="34"/>
    <w:qFormat/>
    <w:rsid w:val="00273BC3"/>
    <w:pPr>
      <w:ind w:left="720"/>
      <w:contextualSpacing/>
    </w:pPr>
    <w:rPr>
      <w:sz w:val="24"/>
      <w:szCs w:val="24"/>
      <w:lang w:val="de-DE" w:eastAsia="de-DE"/>
    </w:rPr>
  </w:style>
  <w:style w:type="paragraph" w:customStyle="1" w:styleId="1Kursiv">
    <w:name w:val="Ü 1 + Kursiv"/>
    <w:basedOn w:val="berschrift1"/>
    <w:link w:val="1KursivChar"/>
    <w:rsid w:val="004D01B1"/>
    <w:pPr>
      <w:spacing w:before="0" w:after="120"/>
    </w:pPr>
    <w:rPr>
      <w:rFonts w:ascii="Times New Roman" w:hAnsi="Times New Roman"/>
      <w:bCs/>
      <w:i/>
      <w:iCs/>
      <w:szCs w:val="28"/>
      <w:lang w:val="de-DE" w:eastAsia="de-DE"/>
    </w:rPr>
  </w:style>
  <w:style w:type="character" w:customStyle="1" w:styleId="1KursivChar">
    <w:name w:val="Ü 1 + Kursiv Char"/>
    <w:basedOn w:val="Absatz-Standardschriftart"/>
    <w:link w:val="1Kursiv"/>
    <w:rsid w:val="004D01B1"/>
    <w:rPr>
      <w:rFonts w:ascii="Times New Roman" w:hAnsi="Times New Roman"/>
      <w:b/>
      <w:bCs/>
      <w:i/>
      <w:iCs/>
      <w:sz w:val="28"/>
      <w:szCs w:val="28"/>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3/1313364509" TargetMode="External"/><Relationship Id="rId13" Type="http://schemas.openxmlformats.org/officeDocument/2006/relationships/hyperlink" Target="http://epub.wu.ac.at/3706/" TargetMode="External"/><Relationship Id="rId18" Type="http://schemas.openxmlformats.org/officeDocument/2006/relationships/hyperlink" Target="http://www.eeg.tuwien.ac.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Tel:+43/6643238603" TargetMode="External"/><Relationship Id="rId12" Type="http://schemas.openxmlformats.org/officeDocument/2006/relationships/hyperlink" Target="http://www.bp.com" TargetMode="External"/><Relationship Id="rId17" Type="http://schemas.openxmlformats.org/officeDocument/2006/relationships/hyperlink" Target="http://www.nrel.gov" TargetMode="External"/><Relationship Id="rId2" Type="http://schemas.openxmlformats.org/officeDocument/2006/relationships/styles" Target="styles.xml"/><Relationship Id="rId16" Type="http://schemas.openxmlformats.org/officeDocument/2006/relationships/hyperlink" Target="http://www.pik-potsdam.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com" TargetMode="External"/><Relationship Id="rId5" Type="http://schemas.openxmlformats.org/officeDocument/2006/relationships/footnotes" Target="footnotes.xml"/><Relationship Id="rId15" Type="http://schemas.openxmlformats.org/officeDocument/2006/relationships/hyperlink" Target="http://www.iiasa.ac.at/web-apps/ene/geadb/dsd?Action=htmlpage&amp;page=about" TargetMode="External"/><Relationship Id="rId10" Type="http://schemas.openxmlformats.org/officeDocument/2006/relationships/hyperlink" Target="http://www.bree.gov.au" TargetMode="External"/><Relationship Id="rId19" Type="http://schemas.openxmlformats.org/officeDocument/2006/relationships/hyperlink" Target="http://www.pnas.org/cgi/doi/10.1073/pnas.1202473109"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pnas.org/cgi/doi/10.1073/pnas.1205276109"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6741</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Hewlett-Packard</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Zsuzsanna</dc:creator>
  <cp:lastModifiedBy>Zsuzsanna</cp:lastModifiedBy>
  <cp:revision>15</cp:revision>
  <cp:lastPrinted>2012-01-19T09:58:00Z</cp:lastPrinted>
  <dcterms:created xsi:type="dcterms:W3CDTF">2013-02-20T15:19:00Z</dcterms:created>
  <dcterms:modified xsi:type="dcterms:W3CDTF">2013-02-20T15:35:00Z</dcterms:modified>
</cp:coreProperties>
</file>