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D09" w:rsidRPr="004A598F" w:rsidRDefault="00A52D09" w:rsidP="00CA6825">
      <w:pPr>
        <w:pStyle w:val="Heading1"/>
        <w:rPr>
          <w:rFonts w:ascii="Times New Roman" w:hAnsi="Times New Roman"/>
          <w:sz w:val="20"/>
          <w:szCs w:val="20"/>
        </w:rPr>
      </w:pPr>
      <w:r w:rsidRPr="004A598F">
        <w:rPr>
          <w:rFonts w:ascii="Times New Roman" w:hAnsi="Times New Roman"/>
          <w:sz w:val="20"/>
          <w:szCs w:val="20"/>
        </w:rPr>
        <w:t>The U.S.-Mexico Transboundary Hydrocarbon Agreement: View of the Mexican Regulator</w:t>
      </w:r>
    </w:p>
    <w:p w:rsidR="00A52D09" w:rsidRPr="000E63BE" w:rsidRDefault="00A52D09" w:rsidP="004A598F">
      <w:pPr>
        <w:spacing w:after="0" w:line="240" w:lineRule="auto"/>
        <w:jc w:val="right"/>
        <w:rPr>
          <w:rFonts w:ascii="Times New Roman" w:hAnsi="Times New Roman"/>
          <w:sz w:val="20"/>
        </w:rPr>
      </w:pPr>
      <w:r w:rsidRPr="000E63BE">
        <w:rPr>
          <w:rFonts w:ascii="Times New Roman" w:hAnsi="Times New Roman"/>
          <w:sz w:val="20"/>
          <w:szCs w:val="20"/>
        </w:rPr>
        <w:t xml:space="preserve">Juan Carlos Zepeda Molina </w:t>
      </w:r>
      <w:r w:rsidRPr="000E63BE">
        <w:rPr>
          <w:rFonts w:ascii="Times New Roman" w:hAnsi="Times New Roman"/>
          <w:sz w:val="20"/>
        </w:rPr>
        <w:t>, President, National Hydrocarbons Commission</w:t>
      </w:r>
    </w:p>
    <w:p w:rsidR="00A52D09" w:rsidRPr="000E63BE" w:rsidRDefault="00A52D09" w:rsidP="004A598F">
      <w:pPr>
        <w:spacing w:after="0" w:line="240" w:lineRule="auto"/>
        <w:jc w:val="right"/>
        <w:rPr>
          <w:rFonts w:ascii="Times New Roman" w:hAnsi="Times New Roman"/>
          <w:sz w:val="20"/>
          <w:szCs w:val="20"/>
        </w:rPr>
      </w:pPr>
      <w:r w:rsidRPr="000E63BE">
        <w:rPr>
          <w:rFonts w:ascii="Times New Roman" w:hAnsi="Times New Roman"/>
          <w:sz w:val="20"/>
        </w:rPr>
        <w:t>zepedajuancarlos@cnh.gob.mx</w:t>
      </w:r>
    </w:p>
    <w:p w:rsidR="00A52D09" w:rsidRPr="004A598F" w:rsidRDefault="00A52D09" w:rsidP="000E63BE">
      <w:pPr>
        <w:spacing w:after="0"/>
        <w:jc w:val="both"/>
        <w:rPr>
          <w:rFonts w:ascii="Times New Roman" w:hAnsi="Times New Roman"/>
          <w:sz w:val="20"/>
          <w:szCs w:val="20"/>
        </w:rPr>
      </w:pPr>
    </w:p>
    <w:p w:rsidR="00A52D09" w:rsidRPr="004A598F" w:rsidRDefault="00A52D09" w:rsidP="000E63BE">
      <w:pPr>
        <w:pStyle w:val="Header"/>
        <w:tabs>
          <w:tab w:val="clear" w:pos="4680"/>
          <w:tab w:val="clear" w:pos="9360"/>
        </w:tabs>
        <w:spacing w:after="120" w:line="276" w:lineRule="auto"/>
        <w:jc w:val="both"/>
        <w:rPr>
          <w:rFonts w:ascii="Times New Roman" w:hAnsi="Times New Roman"/>
          <w:b/>
          <w:sz w:val="20"/>
          <w:szCs w:val="20"/>
        </w:rPr>
      </w:pPr>
      <w:r w:rsidRPr="004A598F">
        <w:rPr>
          <w:rFonts w:ascii="Times New Roman" w:hAnsi="Times New Roman"/>
          <w:b/>
          <w:sz w:val="20"/>
          <w:szCs w:val="20"/>
        </w:rPr>
        <w:t>OVERVIEW</w:t>
      </w:r>
      <w:r w:rsidRPr="004A598F">
        <w:rPr>
          <w:rFonts w:ascii="Times New Roman" w:hAnsi="Times New Roman"/>
          <w:b/>
          <w:sz w:val="20"/>
          <w:szCs w:val="20"/>
        </w:rPr>
        <w:tab/>
      </w:r>
    </w:p>
    <w:p w:rsidR="00A52D09" w:rsidRPr="004A598F" w:rsidRDefault="00A52D09" w:rsidP="000E63BE">
      <w:pPr>
        <w:spacing w:after="120"/>
        <w:jc w:val="both"/>
        <w:rPr>
          <w:rFonts w:ascii="Times New Roman" w:hAnsi="Times New Roman"/>
          <w:sz w:val="20"/>
          <w:szCs w:val="20"/>
        </w:rPr>
      </w:pPr>
      <w:r w:rsidRPr="004A598F">
        <w:rPr>
          <w:rFonts w:ascii="Times New Roman" w:hAnsi="Times New Roman"/>
          <w:sz w:val="20"/>
          <w:szCs w:val="20"/>
        </w:rPr>
        <w:t>The U.S.-Mexico Transboundary Hydrocarbon Agreement poses as many challenges for the National Hydrocarbons Commission (CNH), the Mexican government’s upstream regulator, as it does for Pemex, Mexico’s national oil company (NOC).</w:t>
      </w:r>
    </w:p>
    <w:p w:rsidR="00A52D09" w:rsidRPr="004A598F" w:rsidRDefault="00A52D09" w:rsidP="000E63BE">
      <w:pPr>
        <w:spacing w:after="120"/>
        <w:jc w:val="both"/>
        <w:rPr>
          <w:rFonts w:ascii="Times New Roman" w:hAnsi="Times New Roman"/>
          <w:sz w:val="20"/>
          <w:szCs w:val="20"/>
        </w:rPr>
      </w:pPr>
      <w:r w:rsidRPr="004A598F">
        <w:rPr>
          <w:rFonts w:ascii="Times New Roman" w:hAnsi="Times New Roman"/>
          <w:sz w:val="20"/>
          <w:szCs w:val="20"/>
        </w:rPr>
        <w:t>The Agreement calls on each of the parties (that is, the governments) to designate an Executive Agency as its representative in the governance structure that will be created for each cross-border oilfield.  This agency is supposed to be the authority that grants licensing permits for the exploration and exploitation of mineral rights that are under federal jurisdiction.  In the U.S. case, that authority is vested in the Department of Interior and its subordinate agencies.</w:t>
      </w:r>
    </w:p>
    <w:p w:rsidR="00A52D09" w:rsidRPr="004A598F" w:rsidRDefault="00A52D09" w:rsidP="000E63BE">
      <w:pPr>
        <w:spacing w:after="120"/>
        <w:jc w:val="both"/>
        <w:rPr>
          <w:rFonts w:ascii="Times New Roman" w:hAnsi="Times New Roman"/>
          <w:sz w:val="20"/>
          <w:szCs w:val="20"/>
        </w:rPr>
      </w:pPr>
      <w:r>
        <w:rPr>
          <w:rFonts w:ascii="Times New Roman" w:hAnsi="Times New Roman"/>
          <w:sz w:val="20"/>
          <w:szCs w:val="20"/>
        </w:rPr>
        <w:t>On the Mexican side, t</w:t>
      </w:r>
      <w:r w:rsidRPr="004A598F">
        <w:rPr>
          <w:rFonts w:ascii="Times New Roman" w:hAnsi="Times New Roman"/>
          <w:sz w:val="20"/>
          <w:szCs w:val="20"/>
        </w:rPr>
        <w:t>he Energy Ministry that gives Pemex authorization to carry out E&amp;P activities in a given area (which is seldom, if ever, in the shape of a square, as in federal waters on the U.S. side). Beyond this authority, Pemex has the right to farm-out, th</w:t>
      </w:r>
      <w:r>
        <w:rPr>
          <w:rFonts w:ascii="Times New Roman" w:hAnsi="Times New Roman"/>
          <w:sz w:val="20"/>
          <w:szCs w:val="20"/>
        </w:rPr>
        <w:t>rough public bids, hybrid risk contracts</w:t>
      </w:r>
      <w:r w:rsidRPr="004A598F">
        <w:rPr>
          <w:rFonts w:ascii="Times New Roman" w:hAnsi="Times New Roman"/>
          <w:sz w:val="20"/>
          <w:szCs w:val="20"/>
        </w:rPr>
        <w:t xml:space="preserve"> to private operators. In 2011, such licenses were given to Petrofac and Schlumberger.</w:t>
      </w:r>
    </w:p>
    <w:p w:rsidR="00A52D09" w:rsidRPr="004A598F" w:rsidRDefault="00A52D09" w:rsidP="000E63BE">
      <w:pPr>
        <w:spacing w:after="240"/>
        <w:jc w:val="both"/>
        <w:rPr>
          <w:rFonts w:ascii="Times New Roman" w:hAnsi="Times New Roman"/>
          <w:sz w:val="20"/>
          <w:szCs w:val="20"/>
        </w:rPr>
      </w:pPr>
      <w:r w:rsidRPr="004A598F">
        <w:rPr>
          <w:rFonts w:ascii="Times New Roman" w:hAnsi="Times New Roman"/>
          <w:sz w:val="20"/>
          <w:szCs w:val="20"/>
        </w:rPr>
        <w:t>The presentation will explore ways in which future policies and regulations could evolve to in order to provide co-responsibility for the governance of the Agreement.</w:t>
      </w:r>
    </w:p>
    <w:p w:rsidR="00A52D09" w:rsidRPr="004A598F" w:rsidRDefault="00A52D09" w:rsidP="000E63BE">
      <w:pPr>
        <w:pStyle w:val="Heading2"/>
        <w:spacing w:after="120"/>
        <w:jc w:val="both"/>
        <w:rPr>
          <w:rFonts w:ascii="Times New Roman" w:hAnsi="Times New Roman"/>
          <w:sz w:val="20"/>
          <w:szCs w:val="20"/>
        </w:rPr>
      </w:pPr>
      <w:r w:rsidRPr="004A598F">
        <w:rPr>
          <w:rFonts w:ascii="Times New Roman" w:hAnsi="Times New Roman"/>
          <w:sz w:val="20"/>
          <w:szCs w:val="20"/>
        </w:rPr>
        <w:t>METHODOLOGY</w:t>
      </w:r>
    </w:p>
    <w:p w:rsidR="00A52D09" w:rsidRPr="004A598F" w:rsidRDefault="00A52D09" w:rsidP="000E63BE">
      <w:pPr>
        <w:spacing w:after="120"/>
        <w:jc w:val="both"/>
        <w:rPr>
          <w:rFonts w:ascii="Times New Roman" w:hAnsi="Times New Roman"/>
          <w:sz w:val="20"/>
          <w:szCs w:val="20"/>
        </w:rPr>
      </w:pPr>
      <w:r w:rsidRPr="004A598F">
        <w:rPr>
          <w:rFonts w:ascii="Times New Roman" w:hAnsi="Times New Roman"/>
          <w:sz w:val="20"/>
          <w:szCs w:val="20"/>
        </w:rPr>
        <w:t xml:space="preserve">Since 2009, </w:t>
      </w:r>
      <w:r>
        <w:rPr>
          <w:rFonts w:ascii="Times New Roman" w:hAnsi="Times New Roman"/>
          <w:sz w:val="20"/>
          <w:szCs w:val="20"/>
        </w:rPr>
        <w:t>there has been a debate regarding Pemex investment plans in deep water exploration in the Gulf of Mexico.</w:t>
      </w:r>
    </w:p>
    <w:p w:rsidR="00A52D09" w:rsidRPr="004A598F" w:rsidRDefault="00A52D09" w:rsidP="000E63BE">
      <w:pPr>
        <w:pStyle w:val="BodyText"/>
        <w:jc w:val="both"/>
      </w:pPr>
      <w:r>
        <w:t>In general I have argued that Pemex should focus its efforts in shallow water and joint venture with IOC in the exploration and development of deep water. Of course, this would require a Constitutional Reform.</w:t>
      </w:r>
      <w:r w:rsidRPr="004A598F">
        <w:br w:type="page"/>
      </w:r>
    </w:p>
    <w:p w:rsidR="00A52D09" w:rsidRPr="004A598F" w:rsidRDefault="00A52D09" w:rsidP="001D0E87">
      <w:pPr>
        <w:pStyle w:val="Heading2"/>
        <w:spacing w:after="240"/>
        <w:rPr>
          <w:rFonts w:ascii="Times New Roman" w:hAnsi="Times New Roman"/>
          <w:sz w:val="20"/>
          <w:szCs w:val="20"/>
        </w:rPr>
      </w:pPr>
      <w:r w:rsidRPr="004A598F">
        <w:rPr>
          <w:rFonts w:ascii="Times New Roman" w:hAnsi="Times New Roman"/>
          <w:sz w:val="20"/>
          <w:szCs w:val="20"/>
        </w:rPr>
        <w:t>RESULTS</w:t>
      </w:r>
    </w:p>
    <w:p w:rsidR="00A52D09" w:rsidRPr="000E63BE" w:rsidRDefault="00A52D09" w:rsidP="000E63BE">
      <w:pPr>
        <w:spacing w:after="120" w:line="240" w:lineRule="auto"/>
        <w:rPr>
          <w:rFonts w:ascii="Times New Roman" w:hAnsi="Times New Roman"/>
          <w:sz w:val="20"/>
          <w:szCs w:val="20"/>
        </w:rPr>
      </w:pPr>
      <w:r>
        <w:rPr>
          <w:rFonts w:ascii="Times New Roman" w:hAnsi="Times New Roman"/>
          <w:sz w:val="20"/>
          <w:szCs w:val="20"/>
        </w:rPr>
        <w:t xml:space="preserve">Up to now, Pemex has drilled 20 wells in deep </w:t>
      </w:r>
      <w:bookmarkStart w:id="0" w:name="_GoBack"/>
      <w:bookmarkEnd w:id="0"/>
      <w:r>
        <w:rPr>
          <w:rFonts w:ascii="Times New Roman" w:hAnsi="Times New Roman"/>
          <w:sz w:val="20"/>
          <w:szCs w:val="20"/>
        </w:rPr>
        <w:t>water. Most recently, two wells were drilled in the Perdido Fold Belt; one was successful, the other is still being drilled.</w:t>
      </w:r>
    </w:p>
    <w:p w:rsidR="00A52D09" w:rsidRPr="004A598F" w:rsidRDefault="00A52D09" w:rsidP="00CA6825">
      <w:pPr>
        <w:spacing w:after="0"/>
        <w:rPr>
          <w:rFonts w:ascii="Times New Roman" w:hAnsi="Times New Roman"/>
          <w:sz w:val="20"/>
          <w:szCs w:val="20"/>
        </w:rPr>
      </w:pPr>
    </w:p>
    <w:p w:rsidR="00A52D09" w:rsidRDefault="00A52D09" w:rsidP="001C1106">
      <w:pPr>
        <w:pStyle w:val="Heading2"/>
        <w:spacing w:after="120"/>
        <w:rPr>
          <w:rFonts w:ascii="Times New Roman" w:hAnsi="Times New Roman"/>
          <w:sz w:val="20"/>
          <w:szCs w:val="20"/>
        </w:rPr>
      </w:pPr>
      <w:r w:rsidRPr="004A598F">
        <w:rPr>
          <w:rFonts w:ascii="Times New Roman" w:hAnsi="Times New Roman"/>
          <w:sz w:val="20"/>
          <w:szCs w:val="20"/>
        </w:rPr>
        <w:t>CONCLUSIONS</w:t>
      </w:r>
    </w:p>
    <w:p w:rsidR="00A52D09" w:rsidRPr="000E63BE" w:rsidRDefault="00A52D09" w:rsidP="00A961E7">
      <w:pPr>
        <w:jc w:val="both"/>
        <w:rPr>
          <w:rFonts w:ascii="Times New Roman" w:hAnsi="Times New Roman"/>
          <w:sz w:val="20"/>
          <w:szCs w:val="20"/>
        </w:rPr>
      </w:pPr>
      <w:r w:rsidRPr="000E63BE">
        <w:rPr>
          <w:rFonts w:ascii="Times New Roman" w:hAnsi="Times New Roman"/>
          <w:sz w:val="20"/>
          <w:szCs w:val="20"/>
        </w:rPr>
        <w:t>Pemex</w:t>
      </w:r>
      <w:r>
        <w:rPr>
          <w:rFonts w:ascii="Times New Roman" w:hAnsi="Times New Roman"/>
          <w:sz w:val="20"/>
          <w:szCs w:val="20"/>
        </w:rPr>
        <w:t>, as all oil companies, has its strengths and weaknesses; we have to encourage its strengths by means of international agreements and reforms.</w:t>
      </w:r>
    </w:p>
    <w:p w:rsidR="00A52D09" w:rsidRPr="004A598F" w:rsidRDefault="00A52D09" w:rsidP="001C1106">
      <w:pPr>
        <w:pStyle w:val="Heading2"/>
        <w:spacing w:after="120"/>
        <w:rPr>
          <w:rFonts w:ascii="Times New Roman" w:hAnsi="Times New Roman"/>
          <w:sz w:val="20"/>
          <w:szCs w:val="20"/>
        </w:rPr>
      </w:pPr>
      <w:r w:rsidRPr="004A598F">
        <w:rPr>
          <w:rFonts w:ascii="Times New Roman" w:hAnsi="Times New Roman"/>
          <w:sz w:val="20"/>
          <w:szCs w:val="20"/>
        </w:rPr>
        <w:t>REFERENCES</w:t>
      </w:r>
    </w:p>
    <w:p w:rsidR="00A52D09" w:rsidRPr="004A598F" w:rsidRDefault="00A52D09" w:rsidP="001D0E87">
      <w:pPr>
        <w:pStyle w:val="BodyText"/>
      </w:pPr>
      <w:r w:rsidRPr="004A598F">
        <w:t>The CNH commissioners have been in frequent meetings with counterparts in the U.S. and other countries where we have been exposed to the regulatory philosophies and instruments that are in force outside of Mexico.</w:t>
      </w:r>
    </w:p>
    <w:p w:rsidR="00A52D09" w:rsidRPr="004A598F" w:rsidRDefault="00A52D09" w:rsidP="00357A83">
      <w:pPr>
        <w:spacing w:after="120"/>
        <w:rPr>
          <w:rFonts w:ascii="Times New Roman" w:hAnsi="Times New Roman"/>
          <w:sz w:val="20"/>
          <w:szCs w:val="20"/>
        </w:rPr>
      </w:pPr>
    </w:p>
    <w:p w:rsidR="00A52D09" w:rsidRPr="004A598F" w:rsidRDefault="00A52D09" w:rsidP="006A3A2F">
      <w:pPr>
        <w:spacing w:after="120"/>
        <w:jc w:val="center"/>
        <w:rPr>
          <w:rFonts w:ascii="Times New Roman" w:hAnsi="Times New Roman"/>
          <w:sz w:val="20"/>
          <w:szCs w:val="20"/>
          <w:lang w:val="es-MX"/>
        </w:rPr>
      </w:pPr>
      <w:r w:rsidRPr="004A598F">
        <w:rPr>
          <w:rFonts w:ascii="Times New Roman" w:hAnsi="Times New Roman"/>
          <w:sz w:val="20"/>
          <w:szCs w:val="20"/>
          <w:lang w:val="es-MX"/>
        </w:rPr>
        <w:t>XX</w:t>
      </w:r>
    </w:p>
    <w:p w:rsidR="00A52D09" w:rsidRPr="000E63BE" w:rsidRDefault="00A52D09">
      <w:pPr>
        <w:spacing w:after="0"/>
        <w:jc w:val="right"/>
        <w:rPr>
          <w:rFonts w:ascii="Times New Roman" w:hAnsi="Times New Roman"/>
          <w:sz w:val="20"/>
          <w:szCs w:val="20"/>
          <w:lang w:val="es-MX"/>
        </w:rPr>
      </w:pPr>
    </w:p>
    <w:sectPr w:rsidR="00A52D09" w:rsidRPr="000E63BE" w:rsidSect="000579F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D09" w:rsidRDefault="00A52D09" w:rsidP="00CA6825">
      <w:pPr>
        <w:spacing w:after="0" w:line="240" w:lineRule="auto"/>
      </w:pPr>
      <w:r>
        <w:separator/>
      </w:r>
    </w:p>
  </w:endnote>
  <w:endnote w:type="continuationSeparator" w:id="0">
    <w:p w:rsidR="00A52D09" w:rsidRDefault="00A52D09" w:rsidP="00CA6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D09" w:rsidRDefault="00A52D09">
    <w:pPr>
      <w:pStyle w:val="Footer"/>
      <w:pBdr>
        <w:top w:val="thinThickSmallGap" w:sz="24" w:space="1" w:color="622423"/>
      </w:pBdr>
      <w:rPr>
        <w:rFonts w:ascii="Cambria" w:hAnsi="Cambria"/>
      </w:rPr>
    </w:pPr>
    <w:r w:rsidRPr="009C5B90">
      <w:rPr>
        <w:sz w:val="20"/>
        <w:szCs w:val="20"/>
      </w:rPr>
      <w:t>zepedajuancarlos@cnh.gob.mx</w:t>
    </w:r>
    <w:r w:rsidRPr="008717D2">
      <w:rPr>
        <w:rFonts w:ascii="Cambria" w:hAnsi="Cambria"/>
        <w:sz w:val="16"/>
      </w:rPr>
      <w:tab/>
      <w:t>May 3</w:t>
    </w:r>
    <w:r>
      <w:rPr>
        <w:rFonts w:ascii="Cambria" w:hAnsi="Cambria"/>
        <w:sz w:val="16"/>
      </w:rPr>
      <w:t>1</w:t>
    </w:r>
    <w:r w:rsidRPr="008717D2">
      <w:rPr>
        <w:rFonts w:ascii="Cambria" w:hAnsi="Cambria"/>
        <w:sz w:val="16"/>
      </w:rPr>
      <w:t>, 2012</w:t>
    </w:r>
    <w:r w:rsidRPr="008717D2">
      <w:rPr>
        <w:rFonts w:ascii="Cambria" w:hAnsi="Cambria"/>
        <w:sz w:val="16"/>
      </w:rPr>
      <w:tab/>
      <w:t xml:space="preserve">Page </w:t>
    </w:r>
    <w:r w:rsidRPr="008717D2">
      <w:rPr>
        <w:rFonts w:ascii="Cambria" w:hAnsi="Cambria"/>
        <w:b/>
        <w:sz w:val="16"/>
      </w:rPr>
      <w:fldChar w:fldCharType="begin"/>
    </w:r>
    <w:r w:rsidRPr="008717D2">
      <w:rPr>
        <w:rFonts w:ascii="Cambria" w:hAnsi="Cambria"/>
        <w:b/>
        <w:sz w:val="16"/>
      </w:rPr>
      <w:instrText xml:space="preserve"> PAGE  \* Arabic  \* MERGEFORMAT </w:instrText>
    </w:r>
    <w:r w:rsidRPr="008717D2">
      <w:rPr>
        <w:rFonts w:ascii="Cambria" w:hAnsi="Cambria"/>
        <w:b/>
        <w:sz w:val="16"/>
      </w:rPr>
      <w:fldChar w:fldCharType="separate"/>
    </w:r>
    <w:r>
      <w:rPr>
        <w:rFonts w:ascii="Cambria" w:hAnsi="Cambria"/>
        <w:b/>
        <w:noProof/>
        <w:sz w:val="16"/>
      </w:rPr>
      <w:t>1</w:t>
    </w:r>
    <w:r w:rsidRPr="008717D2">
      <w:rPr>
        <w:rFonts w:ascii="Cambria" w:hAnsi="Cambria"/>
        <w:b/>
        <w:sz w:val="16"/>
      </w:rPr>
      <w:fldChar w:fldCharType="end"/>
    </w:r>
    <w:r w:rsidRPr="008717D2">
      <w:rPr>
        <w:rFonts w:ascii="Cambria" w:hAnsi="Cambria"/>
        <w:sz w:val="16"/>
      </w:rPr>
      <w:t xml:space="preserve"> of </w:t>
    </w:r>
    <w:fldSimple w:instr=" NUMPAGES  \* Arabic  \* MERGEFORMAT ">
      <w:r>
        <w:rPr>
          <w:rFonts w:ascii="Cambria" w:hAnsi="Cambria"/>
          <w:b/>
          <w:noProof/>
          <w:sz w:val="16"/>
        </w:rPr>
        <w:t>2</w:t>
      </w:r>
    </w:fldSimple>
  </w:p>
  <w:p w:rsidR="00A52D09" w:rsidRDefault="00A52D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D09" w:rsidRDefault="00A52D09" w:rsidP="00CA6825">
      <w:pPr>
        <w:spacing w:after="0" w:line="240" w:lineRule="auto"/>
      </w:pPr>
      <w:r>
        <w:separator/>
      </w:r>
    </w:p>
  </w:footnote>
  <w:footnote w:type="continuationSeparator" w:id="0">
    <w:p w:rsidR="00A52D09" w:rsidRDefault="00A52D09" w:rsidP="00CA68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D09" w:rsidRDefault="00A52D09" w:rsidP="008717D2">
    <w:pPr>
      <w:pStyle w:val="Header"/>
      <w:jc w:val="center"/>
    </w:pPr>
    <w:r>
      <w:t>Abstract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7914"/>
    <w:multiLevelType w:val="hybridMultilevel"/>
    <w:tmpl w:val="7F4AC0D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825"/>
    <w:rsid w:val="000579F7"/>
    <w:rsid w:val="000E63BE"/>
    <w:rsid w:val="001361D3"/>
    <w:rsid w:val="001C1106"/>
    <w:rsid w:val="001D0E87"/>
    <w:rsid w:val="001E313C"/>
    <w:rsid w:val="00357A83"/>
    <w:rsid w:val="00376922"/>
    <w:rsid w:val="00451D25"/>
    <w:rsid w:val="004A598F"/>
    <w:rsid w:val="004C114B"/>
    <w:rsid w:val="004C6033"/>
    <w:rsid w:val="004F0762"/>
    <w:rsid w:val="0059163A"/>
    <w:rsid w:val="006415C4"/>
    <w:rsid w:val="006A3A2F"/>
    <w:rsid w:val="00722019"/>
    <w:rsid w:val="007411F7"/>
    <w:rsid w:val="008717D2"/>
    <w:rsid w:val="0096752B"/>
    <w:rsid w:val="00972589"/>
    <w:rsid w:val="009C5B90"/>
    <w:rsid w:val="009D34AB"/>
    <w:rsid w:val="00A107AB"/>
    <w:rsid w:val="00A4126A"/>
    <w:rsid w:val="00A52D09"/>
    <w:rsid w:val="00A961E7"/>
    <w:rsid w:val="00B03B72"/>
    <w:rsid w:val="00B86E20"/>
    <w:rsid w:val="00BC1B37"/>
    <w:rsid w:val="00C015AD"/>
    <w:rsid w:val="00C669C8"/>
    <w:rsid w:val="00CA6825"/>
    <w:rsid w:val="00D2163B"/>
    <w:rsid w:val="00D42DBD"/>
    <w:rsid w:val="00D85659"/>
    <w:rsid w:val="00D97EC9"/>
    <w:rsid w:val="00EE0FFB"/>
    <w:rsid w:val="00F31AE7"/>
    <w:rsid w:val="00F468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9F7"/>
    <w:pPr>
      <w:spacing w:after="200" w:line="276" w:lineRule="auto"/>
    </w:pPr>
  </w:style>
  <w:style w:type="paragraph" w:styleId="Heading1">
    <w:name w:val="heading 1"/>
    <w:basedOn w:val="Normal"/>
    <w:next w:val="Normal"/>
    <w:link w:val="Heading1Char"/>
    <w:uiPriority w:val="99"/>
    <w:qFormat/>
    <w:rsid w:val="00CA6825"/>
    <w:pPr>
      <w:keepNext/>
      <w:jc w:val="center"/>
      <w:outlineLvl w:val="0"/>
    </w:pPr>
    <w:rPr>
      <w:b/>
    </w:rPr>
  </w:style>
  <w:style w:type="paragraph" w:styleId="Heading2">
    <w:name w:val="heading 2"/>
    <w:basedOn w:val="Normal"/>
    <w:next w:val="Normal"/>
    <w:link w:val="Heading2Char"/>
    <w:uiPriority w:val="99"/>
    <w:qFormat/>
    <w:rsid w:val="007411F7"/>
    <w:pPr>
      <w:keepNext/>
      <w:spacing w:after="0"/>
      <w:outlineLvl w:val="1"/>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6825"/>
    <w:rPr>
      <w:rFonts w:cs="Times New Roman"/>
      <w:b/>
    </w:rPr>
  </w:style>
  <w:style w:type="character" w:customStyle="1" w:styleId="Heading2Char">
    <w:name w:val="Heading 2 Char"/>
    <w:basedOn w:val="DefaultParagraphFont"/>
    <w:link w:val="Heading2"/>
    <w:uiPriority w:val="99"/>
    <w:locked/>
    <w:rsid w:val="007411F7"/>
    <w:rPr>
      <w:rFonts w:cs="Times New Roman"/>
      <w:b/>
    </w:rPr>
  </w:style>
  <w:style w:type="paragraph" w:styleId="Header">
    <w:name w:val="header"/>
    <w:basedOn w:val="Normal"/>
    <w:link w:val="HeaderChar"/>
    <w:uiPriority w:val="99"/>
    <w:rsid w:val="00CA682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A6825"/>
    <w:rPr>
      <w:rFonts w:cs="Times New Roman"/>
    </w:rPr>
  </w:style>
  <w:style w:type="paragraph" w:styleId="Footer">
    <w:name w:val="footer"/>
    <w:basedOn w:val="Normal"/>
    <w:link w:val="FooterChar"/>
    <w:uiPriority w:val="99"/>
    <w:rsid w:val="00CA682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A6825"/>
    <w:rPr>
      <w:rFonts w:cs="Times New Roman"/>
    </w:rPr>
  </w:style>
  <w:style w:type="character" w:styleId="Hyperlink">
    <w:name w:val="Hyperlink"/>
    <w:basedOn w:val="DefaultParagraphFont"/>
    <w:uiPriority w:val="99"/>
    <w:rsid w:val="008717D2"/>
    <w:rPr>
      <w:rFonts w:cs="Times New Roman"/>
      <w:color w:val="0000FF"/>
      <w:u w:val="single"/>
    </w:rPr>
  </w:style>
  <w:style w:type="paragraph" w:styleId="BalloonText">
    <w:name w:val="Balloon Text"/>
    <w:basedOn w:val="Normal"/>
    <w:link w:val="BalloonTextChar"/>
    <w:uiPriority w:val="99"/>
    <w:semiHidden/>
    <w:rsid w:val="00871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17D2"/>
    <w:rPr>
      <w:rFonts w:ascii="Tahoma" w:hAnsi="Tahoma" w:cs="Tahoma"/>
      <w:sz w:val="16"/>
      <w:szCs w:val="16"/>
    </w:rPr>
  </w:style>
  <w:style w:type="paragraph" w:styleId="ListParagraph">
    <w:name w:val="List Paragraph"/>
    <w:basedOn w:val="Normal"/>
    <w:uiPriority w:val="99"/>
    <w:qFormat/>
    <w:rsid w:val="00D42DBD"/>
    <w:pPr>
      <w:ind w:left="720"/>
      <w:contextualSpacing/>
    </w:pPr>
  </w:style>
  <w:style w:type="paragraph" w:styleId="BodyText">
    <w:name w:val="Body Text"/>
    <w:basedOn w:val="Normal"/>
    <w:link w:val="BodyTextChar"/>
    <w:uiPriority w:val="99"/>
    <w:rsid w:val="001D0E87"/>
    <w:pPr>
      <w:spacing w:after="120"/>
    </w:pPr>
    <w:rPr>
      <w:rFonts w:ascii="Times New Roman" w:hAnsi="Times New Roman"/>
      <w:sz w:val="20"/>
      <w:szCs w:val="20"/>
    </w:rPr>
  </w:style>
  <w:style w:type="character" w:customStyle="1" w:styleId="BodyTextChar">
    <w:name w:val="Body Text Char"/>
    <w:basedOn w:val="DefaultParagraphFont"/>
    <w:link w:val="BodyText"/>
    <w:uiPriority w:val="99"/>
    <w:locked/>
    <w:rsid w:val="001D0E87"/>
    <w:rPr>
      <w:rFonts w:ascii="Times New Roman" w:hAnsi="Times New Roman" w:cs="Times New Roman"/>
      <w:sz w:val="20"/>
      <w:szCs w:val="20"/>
    </w:rPr>
  </w:style>
  <w:style w:type="paragraph" w:styleId="DocumentMap">
    <w:name w:val="Document Map"/>
    <w:basedOn w:val="Normal"/>
    <w:link w:val="DocumentMapChar"/>
    <w:uiPriority w:val="99"/>
    <w:semiHidden/>
    <w:rsid w:val="00B03B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1019D"/>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354</Words>
  <Characters>2018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dc:title>
  <dc:subject/>
  <dc:creator>George Baker</dc:creator>
  <cp:keywords/>
  <dc:description/>
  <cp:lastModifiedBy>WS20</cp:lastModifiedBy>
  <cp:revision>2</cp:revision>
  <cp:lastPrinted>2012-10-03T19:25:00Z</cp:lastPrinted>
  <dcterms:created xsi:type="dcterms:W3CDTF">2012-10-04T11:55:00Z</dcterms:created>
  <dcterms:modified xsi:type="dcterms:W3CDTF">2012-10-04T11:55:00Z</dcterms:modified>
</cp:coreProperties>
</file>