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38" w:rsidRPr="00712CA8" w:rsidRDefault="00712CA8" w:rsidP="002A39FE">
      <w:pPr>
        <w:pStyle w:val="NoSpacing"/>
        <w:framePr w:w="10905" w:h="1276" w:hRule="exact" w:hSpace="187" w:wrap="auto" w:vAnchor="page" w:hAnchor="page" w:x="609" w:y="1085"/>
        <w:jc w:val="both"/>
        <w:rPr>
          <w:rFonts w:ascii="Times New Roman" w:hAnsi="Times New Roman"/>
          <w:b/>
          <w:i/>
          <w:sz w:val="28"/>
          <w:szCs w:val="32"/>
        </w:rPr>
      </w:pPr>
      <w:r w:rsidRPr="00712CA8">
        <w:rPr>
          <w:rFonts w:ascii="Times New Roman" w:hAnsi="Times New Roman"/>
          <w:b/>
          <w:i/>
          <w:sz w:val="28"/>
          <w:szCs w:val="32"/>
        </w:rPr>
        <w:t>EXAMINING THE ENVIRONMENTAL IMPACT OF EUROPEAN UNION EMISSIONS TRADING SCHEME (EU-ETS) - AN INPUT OUTPUT APPROACH.</w:t>
      </w:r>
    </w:p>
    <w:p w:rsidR="0032419C" w:rsidRPr="009A16B5" w:rsidRDefault="0032419C" w:rsidP="002A39FE">
      <w:pPr>
        <w:pStyle w:val="BodyText"/>
        <w:framePr w:w="10905" w:h="1276" w:hRule="exact" w:hSpace="187" w:wrap="auto" w:vAnchor="page" w:hAnchor="page" w:x="609" w:y="1085"/>
        <w:spacing w:before="240"/>
        <w:jc w:val="right"/>
        <w:rPr>
          <w:sz w:val="20"/>
        </w:rPr>
      </w:pPr>
      <w:r w:rsidRPr="009A16B5">
        <w:rPr>
          <w:sz w:val="20"/>
        </w:rPr>
        <w:t>LAWAN Usman Ali, Student - CEPML</w:t>
      </w:r>
      <w:bookmarkStart w:id="0" w:name="_GoBack"/>
      <w:bookmarkEnd w:id="0"/>
      <w:r w:rsidRPr="009A16B5">
        <w:rPr>
          <w:sz w:val="20"/>
        </w:rPr>
        <w:t>P, University of Dundee, Phone: +</w:t>
      </w:r>
      <w:r w:rsidR="007629F2">
        <w:rPr>
          <w:sz w:val="20"/>
        </w:rPr>
        <w:t>2348050928956</w:t>
      </w:r>
      <w:r w:rsidRPr="009A16B5">
        <w:rPr>
          <w:sz w:val="20"/>
        </w:rPr>
        <w:t xml:space="preserve">, email: </w:t>
      </w:r>
      <w:hyperlink r:id="rId7" w:history="1">
        <w:r w:rsidRPr="00F1739B">
          <w:rPr>
            <w:rStyle w:val="Hyperlink"/>
            <w:sz w:val="20"/>
          </w:rPr>
          <w:t>usco_ali@yahoo.com</w:t>
        </w:r>
      </w:hyperlink>
    </w:p>
    <w:p w:rsidR="000623C7" w:rsidRDefault="000623C7" w:rsidP="002A39FE">
      <w:pPr>
        <w:pStyle w:val="Heading2"/>
        <w:spacing w:before="120" w:after="120"/>
        <w:rPr>
          <w:rFonts w:ascii="Times New Roman" w:hAnsi="Times New Roman"/>
          <w:i w:val="0"/>
        </w:rPr>
      </w:pPr>
    </w:p>
    <w:p w:rsidR="0032419C" w:rsidRPr="00EF6150" w:rsidRDefault="0032419C" w:rsidP="002A39FE">
      <w:pPr>
        <w:pStyle w:val="Heading2"/>
        <w:spacing w:before="120" w:after="120"/>
        <w:rPr>
          <w:rFonts w:ascii="Times New Roman" w:hAnsi="Times New Roman"/>
          <w:i w:val="0"/>
        </w:rPr>
      </w:pPr>
      <w:r w:rsidRPr="00EF6150">
        <w:rPr>
          <w:rFonts w:ascii="Times New Roman" w:hAnsi="Times New Roman"/>
          <w:i w:val="0"/>
        </w:rPr>
        <w:t>Overview</w:t>
      </w:r>
    </w:p>
    <w:p w:rsidR="006073F2" w:rsidRPr="00DA3AAD" w:rsidRDefault="001A2778" w:rsidP="00D2346B">
      <w:pPr>
        <w:autoSpaceDE w:val="0"/>
        <w:autoSpaceDN w:val="0"/>
        <w:adjustRightInd w:val="0"/>
        <w:spacing w:before="240"/>
        <w:jc w:val="both"/>
        <w:rPr>
          <w:lang w:val="en-US"/>
        </w:rPr>
      </w:pPr>
      <w:r>
        <w:rPr>
          <w:iCs/>
          <w:lang w:val="en-US"/>
        </w:rPr>
        <w:t>The consequences of</w:t>
      </w:r>
      <w:r w:rsidR="006073F2" w:rsidRPr="00DA3AAD">
        <w:rPr>
          <w:iCs/>
          <w:lang w:val="en-US"/>
        </w:rPr>
        <w:t xml:space="preserve"> environmental </w:t>
      </w:r>
      <w:r w:rsidR="00CF0488" w:rsidRPr="00DA3AAD">
        <w:rPr>
          <w:iCs/>
          <w:lang w:val="en-US"/>
        </w:rPr>
        <w:t>challenges</w:t>
      </w:r>
      <w:r w:rsidR="006073F2" w:rsidRPr="00DA3AAD">
        <w:rPr>
          <w:iCs/>
          <w:lang w:val="en-US"/>
        </w:rPr>
        <w:t xml:space="preserve"> </w:t>
      </w:r>
      <w:r w:rsidR="00CF0488" w:rsidRPr="00DA3AAD">
        <w:rPr>
          <w:iCs/>
          <w:lang w:val="en-US"/>
        </w:rPr>
        <w:t>resulting from</w:t>
      </w:r>
      <w:r w:rsidR="006073F2" w:rsidRPr="00DA3AAD">
        <w:rPr>
          <w:iCs/>
          <w:lang w:val="en-US"/>
        </w:rPr>
        <w:t xml:space="preserve"> climate change </w:t>
      </w:r>
      <w:r w:rsidR="00314CC9" w:rsidRPr="00DA3AAD">
        <w:rPr>
          <w:iCs/>
          <w:lang w:val="en-US"/>
        </w:rPr>
        <w:t>manifestation</w:t>
      </w:r>
      <w:r w:rsidR="006073F2" w:rsidRPr="00DA3AAD">
        <w:rPr>
          <w:iCs/>
          <w:lang w:val="en-US"/>
        </w:rPr>
        <w:t xml:space="preserve"> are not a new subject of debate among scholars, NGOs and Intergovernmental Institutions. Climate change </w:t>
      </w:r>
      <w:r w:rsidR="00314CC9" w:rsidRPr="00DA3AAD">
        <w:rPr>
          <w:iCs/>
          <w:lang w:val="en-US"/>
        </w:rPr>
        <w:t>occurrences</w:t>
      </w:r>
      <w:r w:rsidR="006073F2" w:rsidRPr="00DA3AAD">
        <w:rPr>
          <w:iCs/>
          <w:lang w:val="en-US"/>
        </w:rPr>
        <w:t xml:space="preserve"> are enhanced by increasing concentration of greenhouse gases (GHGs) in the atmosphere, with carbon dioxide (CO</w:t>
      </w:r>
      <w:r w:rsidR="006073F2" w:rsidRPr="00DA3AAD">
        <w:rPr>
          <w:iCs/>
          <w:vertAlign w:val="subscript"/>
          <w:lang w:val="en-US"/>
        </w:rPr>
        <w:t>2</w:t>
      </w:r>
      <w:r w:rsidR="006073F2" w:rsidRPr="00DA3AAD">
        <w:rPr>
          <w:iCs/>
          <w:lang w:val="en-US"/>
        </w:rPr>
        <w:t xml:space="preserve">) emission being the main contributor. </w:t>
      </w:r>
      <w:r w:rsidR="00683E99" w:rsidRPr="00DA3AAD">
        <w:rPr>
          <w:iCs/>
          <w:lang w:val="en-US"/>
        </w:rPr>
        <w:t>P</w:t>
      </w:r>
      <w:r w:rsidR="006073F2" w:rsidRPr="00DA3AAD">
        <w:rPr>
          <w:iCs/>
          <w:lang w:val="en-US"/>
        </w:rPr>
        <w:t xml:space="preserve">olicy makers around the globe have device various </w:t>
      </w:r>
      <w:r w:rsidR="00683E99" w:rsidRPr="00DA3AAD">
        <w:rPr>
          <w:iCs/>
          <w:lang w:val="en-US"/>
        </w:rPr>
        <w:t xml:space="preserve">market based </w:t>
      </w:r>
      <w:r w:rsidR="006073F2" w:rsidRPr="00DA3AAD">
        <w:rPr>
          <w:iCs/>
          <w:lang w:val="en-US"/>
        </w:rPr>
        <w:t xml:space="preserve">instruments such as carbon taxation and carbon emissions trading to </w:t>
      </w:r>
      <w:r w:rsidR="00683E99" w:rsidRPr="00DA3AAD">
        <w:rPr>
          <w:iCs/>
          <w:lang w:val="en-US"/>
        </w:rPr>
        <w:t>successively control</w:t>
      </w:r>
      <w:r w:rsidR="006073F2" w:rsidRPr="00DA3AAD">
        <w:rPr>
          <w:iCs/>
          <w:lang w:val="en-US"/>
        </w:rPr>
        <w:t xml:space="preserve"> GHGs</w:t>
      </w:r>
      <w:r w:rsidR="006073F2" w:rsidRPr="00DA3AAD">
        <w:rPr>
          <w:iCs/>
          <w:vertAlign w:val="subscript"/>
          <w:lang w:val="en-US"/>
        </w:rPr>
        <w:t xml:space="preserve"> </w:t>
      </w:r>
      <w:r w:rsidR="006073F2" w:rsidRPr="00DA3AAD">
        <w:rPr>
          <w:iCs/>
          <w:lang w:val="en-US"/>
        </w:rPr>
        <w:t>emissions</w:t>
      </w:r>
      <w:r w:rsidR="00683E99" w:rsidRPr="00DA3AAD">
        <w:rPr>
          <w:iCs/>
          <w:lang w:val="en-US"/>
        </w:rPr>
        <w:t>.</w:t>
      </w:r>
      <w:r w:rsidR="000C4888">
        <w:rPr>
          <w:iCs/>
          <w:lang w:val="en-US"/>
        </w:rPr>
        <w:t xml:space="preserve"> </w:t>
      </w:r>
      <w:r w:rsidR="006073F2" w:rsidRPr="00DA3AAD">
        <w:rPr>
          <w:iCs/>
          <w:lang w:val="en-US"/>
        </w:rPr>
        <w:t xml:space="preserve">In </w:t>
      </w:r>
      <w:r w:rsidR="00683E99" w:rsidRPr="00DA3AAD">
        <w:rPr>
          <w:iCs/>
          <w:lang w:val="en-US"/>
        </w:rPr>
        <w:t>line with the above</w:t>
      </w:r>
      <w:r w:rsidR="006073F2" w:rsidRPr="00DA3AAD">
        <w:rPr>
          <w:iCs/>
          <w:lang w:val="en-US"/>
        </w:rPr>
        <w:t>, the European Union (EU) launched the world’s first cap-and-trade program for carbon emissions in 2005 - the European Union’s Emissions Trading Scheme (EU ETS)</w:t>
      </w:r>
      <w:r w:rsidR="006073F2" w:rsidRPr="00DA3AAD">
        <w:rPr>
          <w:lang w:val="en-US"/>
        </w:rPr>
        <w:t xml:space="preserve">. However, serious concerns </w:t>
      </w:r>
      <w:r w:rsidR="00683E99" w:rsidRPr="00DA3AAD">
        <w:rPr>
          <w:lang w:val="en-US"/>
        </w:rPr>
        <w:t xml:space="preserve">have been raised </w:t>
      </w:r>
      <w:r w:rsidR="006073F2" w:rsidRPr="00DA3AAD">
        <w:rPr>
          <w:lang w:val="en-US"/>
        </w:rPr>
        <w:t>about the scheme’s ability to reduce emissions in a cost-effective manner</w:t>
      </w:r>
      <w:r w:rsidR="00683E99" w:rsidRPr="00DA3AAD">
        <w:rPr>
          <w:lang w:val="en-US"/>
        </w:rPr>
        <w:t xml:space="preserve"> due to the </w:t>
      </w:r>
      <w:r w:rsidR="008155EA">
        <w:rPr>
          <w:lang w:val="en-US"/>
        </w:rPr>
        <w:t>i</w:t>
      </w:r>
      <w:r w:rsidR="00683E99" w:rsidRPr="00DA3AAD">
        <w:rPr>
          <w:lang w:val="en-US"/>
        </w:rPr>
        <w:t>nherent uncertainties</w:t>
      </w:r>
      <w:r w:rsidR="00447FF8" w:rsidRPr="00DA3AAD">
        <w:rPr>
          <w:lang w:val="en-US"/>
        </w:rPr>
        <w:t xml:space="preserve"> associated to Emissions Trading</w:t>
      </w:r>
      <w:r w:rsidR="006073F2" w:rsidRPr="00DA3AAD">
        <w:rPr>
          <w:lang w:val="en-US"/>
        </w:rPr>
        <w:t xml:space="preserve">. Moreover, </w:t>
      </w:r>
      <w:r w:rsidR="0093239B">
        <w:rPr>
          <w:lang w:val="en-US"/>
        </w:rPr>
        <w:t>this</w:t>
      </w:r>
      <w:r w:rsidR="006073F2" w:rsidRPr="00DA3AAD">
        <w:rPr>
          <w:lang w:val="en-US"/>
        </w:rPr>
        <w:t xml:space="preserve"> mechanism might not necessarily </w:t>
      </w:r>
      <w:r w:rsidR="004220F1">
        <w:rPr>
          <w:lang w:val="en-US"/>
        </w:rPr>
        <w:t>guarantee emissions reduction</w:t>
      </w:r>
      <w:r w:rsidR="006073F2" w:rsidRPr="00DA3AAD">
        <w:rPr>
          <w:lang w:val="en-US"/>
        </w:rPr>
        <w:t xml:space="preserve"> unless its value reflects </w:t>
      </w:r>
      <w:r w:rsidR="004220F1">
        <w:rPr>
          <w:lang w:val="en-US"/>
        </w:rPr>
        <w:t>positive</w:t>
      </w:r>
      <w:r w:rsidR="006073F2" w:rsidRPr="00DA3AAD">
        <w:rPr>
          <w:lang w:val="en-US"/>
        </w:rPr>
        <w:t xml:space="preserve"> socioeconomic and environmental impacts. </w:t>
      </w:r>
    </w:p>
    <w:p w:rsidR="006073F2" w:rsidRPr="00DA3AAD" w:rsidRDefault="006073F2" w:rsidP="00524B3B">
      <w:pPr>
        <w:autoSpaceDE w:val="0"/>
        <w:autoSpaceDN w:val="0"/>
        <w:adjustRightInd w:val="0"/>
        <w:spacing w:before="120"/>
        <w:jc w:val="both"/>
        <w:rPr>
          <w:lang w:val="en-US"/>
        </w:rPr>
      </w:pPr>
      <w:r w:rsidRPr="00DA3AAD">
        <w:rPr>
          <w:lang w:val="en-US"/>
        </w:rPr>
        <w:t xml:space="preserve">This </w:t>
      </w:r>
      <w:r w:rsidR="007629F2">
        <w:rPr>
          <w:lang w:val="en-US"/>
        </w:rPr>
        <w:t>paper</w:t>
      </w:r>
      <w:r w:rsidRPr="00DA3AAD">
        <w:rPr>
          <w:lang w:val="en-US"/>
        </w:rPr>
        <w:t xml:space="preserve"> analyses the</w:t>
      </w:r>
      <w:r w:rsidR="007629F2">
        <w:rPr>
          <w:lang w:val="en-US"/>
        </w:rPr>
        <w:t xml:space="preserve"> environmental</w:t>
      </w:r>
      <w:r w:rsidRPr="00DA3AAD">
        <w:rPr>
          <w:lang w:val="en-US"/>
        </w:rPr>
        <w:t xml:space="preserve"> impact of the EU ETS</w:t>
      </w:r>
      <w:r w:rsidR="002A460A">
        <w:rPr>
          <w:lang w:val="en-US"/>
        </w:rPr>
        <w:t>. U</w:t>
      </w:r>
      <w:r w:rsidRPr="00DA3AAD">
        <w:rPr>
          <w:lang w:val="en-US"/>
        </w:rPr>
        <w:t>sing the environmentally extended input–output (EEIO) techniques</w:t>
      </w:r>
      <w:r w:rsidR="002A460A">
        <w:rPr>
          <w:lang w:val="en-US"/>
        </w:rPr>
        <w:t>,</w:t>
      </w:r>
      <w:r w:rsidRPr="00DA3AAD">
        <w:rPr>
          <w:lang w:val="en-US"/>
        </w:rPr>
        <w:t xml:space="preserve"> </w:t>
      </w:r>
      <w:r w:rsidR="002A460A">
        <w:rPr>
          <w:lang w:val="en-US"/>
        </w:rPr>
        <w:t>it</w:t>
      </w:r>
      <w:r w:rsidRPr="00DA3AAD">
        <w:rPr>
          <w:lang w:val="en-US"/>
        </w:rPr>
        <w:t xml:space="preserve"> evaluate</w:t>
      </w:r>
      <w:r w:rsidR="002A460A">
        <w:rPr>
          <w:lang w:val="en-US"/>
        </w:rPr>
        <w:t>s</w:t>
      </w:r>
      <w:r w:rsidRPr="00DA3AAD">
        <w:rPr>
          <w:lang w:val="en-US"/>
        </w:rPr>
        <w:t xml:space="preserve"> th</w:t>
      </w:r>
      <w:r w:rsidR="00551EC8" w:rsidRPr="00DA3AAD">
        <w:rPr>
          <w:lang w:val="en-US"/>
        </w:rPr>
        <w:t>e impacts of the scheme on EU</w:t>
      </w:r>
      <w:r w:rsidRPr="00DA3AAD">
        <w:rPr>
          <w:lang w:val="en-US"/>
        </w:rPr>
        <w:t xml:space="preserve"> energy use and CO</w:t>
      </w:r>
      <w:r w:rsidRPr="00DA3AAD">
        <w:rPr>
          <w:vertAlign w:val="subscript"/>
          <w:lang w:val="en-US"/>
        </w:rPr>
        <w:t>2</w:t>
      </w:r>
      <w:r w:rsidRPr="00DA3AAD">
        <w:rPr>
          <w:lang w:val="en-US"/>
        </w:rPr>
        <w:t xml:space="preserve"> emissions. The paper employ a disag</w:t>
      </w:r>
      <w:r w:rsidR="00551EC8" w:rsidRPr="00DA3AAD">
        <w:rPr>
          <w:lang w:val="en-US"/>
        </w:rPr>
        <w:t>gregate measurement of the EU</w:t>
      </w:r>
      <w:r w:rsidRPr="00DA3AAD">
        <w:rPr>
          <w:lang w:val="en-US"/>
        </w:rPr>
        <w:t xml:space="preserve"> energy related CO</w:t>
      </w:r>
      <w:r w:rsidRPr="00DA3AAD">
        <w:rPr>
          <w:vertAlign w:val="subscript"/>
          <w:lang w:val="en-US"/>
        </w:rPr>
        <w:t xml:space="preserve">2 </w:t>
      </w:r>
      <w:r w:rsidR="007629F2">
        <w:rPr>
          <w:lang w:val="en-US"/>
        </w:rPr>
        <w:t>emissions in 22</w:t>
      </w:r>
      <w:r w:rsidR="00551EC8" w:rsidRPr="00DA3AAD">
        <w:rPr>
          <w:lang w:val="en-US"/>
        </w:rPr>
        <w:t xml:space="preserve"> economic</w:t>
      </w:r>
      <w:r w:rsidRPr="00DA3AAD">
        <w:rPr>
          <w:lang w:val="en-US"/>
        </w:rPr>
        <w:t xml:space="preserve"> sectors and 6 </w:t>
      </w:r>
      <w:r w:rsidR="002A460A">
        <w:rPr>
          <w:lang w:val="en-US"/>
        </w:rPr>
        <w:t>(</w:t>
      </w:r>
      <w:r w:rsidRPr="00DA3AAD">
        <w:rPr>
          <w:lang w:val="en-US"/>
        </w:rPr>
        <w:t>six</w:t>
      </w:r>
      <w:r w:rsidR="002A460A">
        <w:rPr>
          <w:lang w:val="en-US"/>
        </w:rPr>
        <w:t>)</w:t>
      </w:r>
      <w:r w:rsidRPr="00DA3AAD">
        <w:rPr>
          <w:lang w:val="en-US"/>
        </w:rPr>
        <w:t xml:space="preserve"> fossil fuel use to estimate the price effects</w:t>
      </w:r>
      <w:r w:rsidR="00551EC8" w:rsidRPr="00DA3AAD">
        <w:rPr>
          <w:lang w:val="en-US"/>
        </w:rPr>
        <w:t xml:space="preserve"> and environmental impact</w:t>
      </w:r>
      <w:r w:rsidR="00E12A4E">
        <w:rPr>
          <w:lang w:val="en-US"/>
        </w:rPr>
        <w:t xml:space="preserve"> of EU ETS in the EU-15 Member c</w:t>
      </w:r>
      <w:r w:rsidR="007629F2">
        <w:rPr>
          <w:lang w:val="en-US"/>
        </w:rPr>
        <w:t>ountries</w:t>
      </w:r>
      <w:r w:rsidRPr="00DA3AAD">
        <w:rPr>
          <w:lang w:val="en-US"/>
        </w:rPr>
        <w:t>.</w:t>
      </w:r>
      <w:r w:rsidR="000C4888">
        <w:rPr>
          <w:lang w:val="en-US"/>
        </w:rPr>
        <w:t xml:space="preserve"> </w:t>
      </w:r>
    </w:p>
    <w:p w:rsidR="006073F2" w:rsidRPr="00DA3AAD" w:rsidRDefault="006073F2" w:rsidP="00D2346B">
      <w:pPr>
        <w:tabs>
          <w:tab w:val="left" w:pos="426"/>
        </w:tabs>
        <w:spacing w:before="120"/>
        <w:jc w:val="both"/>
        <w:rPr>
          <w:lang w:val="en-US"/>
        </w:rPr>
      </w:pPr>
      <w:r w:rsidRPr="00DA3AAD">
        <w:rPr>
          <w:lang w:val="en-US"/>
        </w:rPr>
        <w:t xml:space="preserve">This paper is structured into five parts. Part 2 examines </w:t>
      </w:r>
      <w:r w:rsidR="007629F2">
        <w:rPr>
          <w:lang w:val="en-US"/>
        </w:rPr>
        <w:t>Kyoto target and its</w:t>
      </w:r>
      <w:r w:rsidRPr="00DA3AAD">
        <w:rPr>
          <w:lang w:val="en-US"/>
        </w:rPr>
        <w:t xml:space="preserve"> implementation in EU</w:t>
      </w:r>
      <w:r w:rsidR="007629F2">
        <w:rPr>
          <w:lang w:val="en-US"/>
        </w:rPr>
        <w:t>-15</w:t>
      </w:r>
      <w:r w:rsidRPr="00DA3AAD">
        <w:rPr>
          <w:lang w:val="en-US"/>
        </w:rPr>
        <w:t>, with an emphasis on the mechanisms and operations of the EU ETS. Part 3 explain the environmentally extended i</w:t>
      </w:r>
      <w:r w:rsidR="007629F2">
        <w:rPr>
          <w:lang w:val="en-US"/>
        </w:rPr>
        <w:t>nput-output (EEIO) model and the</w:t>
      </w:r>
      <w:r w:rsidRPr="00DA3AAD">
        <w:rPr>
          <w:lang w:val="en-US"/>
        </w:rPr>
        <w:t xml:space="preserve"> data preparation. Part 4 yields the results of the exercise and off</w:t>
      </w:r>
      <w:r w:rsidR="007629F2">
        <w:rPr>
          <w:lang w:val="en-US"/>
        </w:rPr>
        <w:t>ers result interpretation. P</w:t>
      </w:r>
      <w:r w:rsidRPr="00DA3AAD">
        <w:rPr>
          <w:lang w:val="en-US"/>
        </w:rPr>
        <w:t>a</w:t>
      </w:r>
      <w:r w:rsidR="007629F2">
        <w:rPr>
          <w:lang w:val="en-US"/>
        </w:rPr>
        <w:t>rt 5 presents the conclusion</w:t>
      </w:r>
      <w:r w:rsidRPr="00DA3AAD">
        <w:rPr>
          <w:lang w:val="en-US"/>
        </w:rPr>
        <w:t>.</w:t>
      </w:r>
    </w:p>
    <w:p w:rsidR="0032419C" w:rsidRPr="00DA3AAD" w:rsidRDefault="0032419C" w:rsidP="00D2346B">
      <w:pPr>
        <w:pStyle w:val="Heading2"/>
        <w:spacing w:after="120"/>
        <w:rPr>
          <w:rFonts w:ascii="Times New Roman" w:hAnsi="Times New Roman"/>
          <w:i w:val="0"/>
        </w:rPr>
      </w:pPr>
      <w:r w:rsidRPr="00DA3AAD">
        <w:rPr>
          <w:rFonts w:ascii="Times New Roman" w:hAnsi="Times New Roman"/>
          <w:i w:val="0"/>
        </w:rPr>
        <w:t>Methodology</w:t>
      </w:r>
    </w:p>
    <w:p w:rsidR="00211E96" w:rsidRPr="00DA3AAD" w:rsidRDefault="006073F2" w:rsidP="00D2346B">
      <w:pPr>
        <w:spacing w:before="240"/>
        <w:jc w:val="both"/>
        <w:rPr>
          <w:rFonts w:ascii="Bookman Old Style" w:hAnsi="Bookman Old Style"/>
          <w:sz w:val="24"/>
          <w:szCs w:val="24"/>
        </w:rPr>
      </w:pPr>
      <w:r w:rsidRPr="00DA3AAD">
        <w:t>This study employs</w:t>
      </w:r>
      <w:r w:rsidR="00D25630" w:rsidRPr="00DA3AAD">
        <w:t xml:space="preserve"> the</w:t>
      </w:r>
      <w:r w:rsidRPr="00DA3AAD">
        <w:t xml:space="preserve"> input-output methodology to evaluate the economy-wide environmental impact and price effect of an emiss</w:t>
      </w:r>
      <w:r w:rsidR="003D14FF" w:rsidRPr="00DA3AAD">
        <w:t>ions trading scheme in the EU</w:t>
      </w:r>
      <w:r w:rsidRPr="00DA3AAD">
        <w:t>. The work utilizes the environmentally extended input-output model to calculate the CO</w:t>
      </w:r>
      <w:r w:rsidRPr="00DA3AAD">
        <w:rPr>
          <w:vertAlign w:val="subscript"/>
        </w:rPr>
        <w:t>2</w:t>
      </w:r>
      <w:r w:rsidRPr="00DA3AAD">
        <w:t xml:space="preserve"> emissions intensity for each industrial sector </w:t>
      </w:r>
      <w:r w:rsidR="003D14FF" w:rsidRPr="00DA3AAD">
        <w:t>(</w:t>
      </w:r>
      <w:r w:rsidRPr="00DA3AAD">
        <w:t>i.e</w:t>
      </w:r>
      <w:r w:rsidR="00E33BC8">
        <w:t>.</w:t>
      </w:r>
      <w:r w:rsidRPr="00DA3AAD">
        <w:t xml:space="preserve"> the total carbon content of their product</w:t>
      </w:r>
      <w:r w:rsidR="003D14FF" w:rsidRPr="00DA3AAD">
        <w:t>)</w:t>
      </w:r>
      <w:r w:rsidRPr="00DA3AAD">
        <w:t>, which allows for a computation of the price effect after emission trading.</w:t>
      </w:r>
      <w:r w:rsidR="00211E96" w:rsidRPr="00DA3AAD">
        <w:t xml:space="preserve"> Following the information provided by Eurostat’s ESA 95 input-output tables, the study analyse </w:t>
      </w:r>
      <w:r w:rsidR="002538F0">
        <w:t>twenty two (22)</w:t>
      </w:r>
      <w:r w:rsidR="00211E96" w:rsidRPr="00DA3AAD">
        <w:t xml:space="preserve"> producing sectors and six</w:t>
      </w:r>
      <w:r w:rsidR="002538F0">
        <w:t xml:space="preserve"> (6)</w:t>
      </w:r>
      <w:r w:rsidR="00211E96" w:rsidRPr="00DA3AAD">
        <w:t xml:space="preserve"> types of fossil fuels (Lignite, Peat, Lignite Coke, Natural Gas, Liquid Fu</w:t>
      </w:r>
      <w:r w:rsidR="0032692D">
        <w:t>els and Diesel Oil) in the EU-15</w:t>
      </w:r>
      <w:r w:rsidR="00211E96" w:rsidRPr="00DA3AAD">
        <w:t xml:space="preserve"> </w:t>
      </w:r>
      <w:r w:rsidR="00AB1B2B">
        <w:t>M</w:t>
      </w:r>
      <w:r w:rsidR="00211E96" w:rsidRPr="00DA3AAD">
        <w:t>ember countries.</w:t>
      </w:r>
    </w:p>
    <w:p w:rsidR="0032419C" w:rsidRPr="00DA3AAD" w:rsidRDefault="0032419C" w:rsidP="00D2346B">
      <w:pPr>
        <w:pStyle w:val="Heading2"/>
        <w:spacing w:after="120"/>
        <w:rPr>
          <w:rFonts w:ascii="Times New Roman" w:hAnsi="Times New Roman"/>
          <w:i w:val="0"/>
        </w:rPr>
      </w:pPr>
      <w:r w:rsidRPr="00DA3AAD">
        <w:rPr>
          <w:rFonts w:ascii="Times New Roman" w:hAnsi="Times New Roman"/>
          <w:i w:val="0"/>
        </w:rPr>
        <w:t>Results</w:t>
      </w:r>
    </w:p>
    <w:p w:rsidR="00211BC6" w:rsidRPr="00DA3AAD" w:rsidRDefault="00211BC6" w:rsidP="00D2346B">
      <w:pPr>
        <w:autoSpaceDE w:val="0"/>
        <w:autoSpaceDN w:val="0"/>
        <w:adjustRightInd w:val="0"/>
        <w:spacing w:before="240" w:after="120"/>
        <w:jc w:val="both"/>
      </w:pPr>
      <w:r w:rsidRPr="00DA3AAD">
        <w:t>The energy related CO</w:t>
      </w:r>
      <w:r w:rsidRPr="00DA3AAD">
        <w:rPr>
          <w:vertAlign w:val="subscript"/>
        </w:rPr>
        <w:t>2</w:t>
      </w:r>
      <w:r w:rsidRPr="00DA3AAD">
        <w:t xml:space="preserve"> intensity</w:t>
      </w:r>
      <w:r w:rsidR="00DA3AAD" w:rsidRPr="00DA3AAD">
        <w:t xml:space="preserve"> shows that</w:t>
      </w:r>
      <w:r w:rsidRPr="00DA3AAD">
        <w:t xml:space="preserve"> </w:t>
      </w:r>
      <w:r w:rsidR="00DA3AAD" w:rsidRPr="00DA3AAD">
        <w:t>e</w:t>
      </w:r>
      <w:r w:rsidRPr="00DA3AAD">
        <w:t>nergy intensive sectors such as Electricity, Metal Ore, Transport and other mineral product are those with the highest CO</w:t>
      </w:r>
      <w:r w:rsidRPr="00DA3AAD">
        <w:rPr>
          <w:vertAlign w:val="subscript"/>
        </w:rPr>
        <w:t>2</w:t>
      </w:r>
      <w:r w:rsidRPr="00DA3AAD">
        <w:t xml:space="preserve"> intensities.</w:t>
      </w:r>
    </w:p>
    <w:p w:rsidR="00211BC6" w:rsidRPr="00DA3AAD" w:rsidRDefault="00211BC6" w:rsidP="00524B3B">
      <w:pPr>
        <w:spacing w:before="120"/>
        <w:jc w:val="both"/>
      </w:pPr>
      <w:r w:rsidRPr="00DA3AAD">
        <w:t>The observed change in demand resulting from emissions prices maintained the pattern followed by the CO</w:t>
      </w:r>
      <w:r w:rsidRPr="00DA3AAD">
        <w:rPr>
          <w:vertAlign w:val="subscript"/>
        </w:rPr>
        <w:t>2</w:t>
      </w:r>
      <w:r w:rsidRPr="00DA3AAD">
        <w:t xml:space="preserve"> intensities with the energy intensive sectors (</w:t>
      </w:r>
      <w:proofErr w:type="spellStart"/>
      <w:r w:rsidRPr="00DA3AAD">
        <w:t>i.e</w:t>
      </w:r>
      <w:proofErr w:type="spellEnd"/>
      <w:r w:rsidRPr="00DA3AAD">
        <w:t xml:space="preserve"> Metal Ore, Electricity, Basic Metals and Transport) suffering the highest</w:t>
      </w:r>
      <w:r w:rsidR="00DA3AAD" w:rsidRPr="00DA3AAD">
        <w:t xml:space="preserve"> price</w:t>
      </w:r>
      <w:r w:rsidRPr="00DA3AAD">
        <w:t xml:space="preserve"> effects both in percentage and absolute terms.</w:t>
      </w:r>
    </w:p>
    <w:p w:rsidR="007C28A2" w:rsidRPr="00DA3AAD" w:rsidRDefault="007C28A2" w:rsidP="00D2346B">
      <w:pPr>
        <w:spacing w:before="120"/>
        <w:jc w:val="both"/>
      </w:pPr>
      <w:r w:rsidRPr="00DA3AAD">
        <w:t>The environmental impact (in percentage) of carbo</w:t>
      </w:r>
      <w:r w:rsidR="00DA3AAD" w:rsidRPr="00DA3AAD">
        <w:t>n emissions trading in the EU</w:t>
      </w:r>
      <w:r w:rsidRPr="00DA3AAD">
        <w:t xml:space="preserve"> resulting from a change in fin</w:t>
      </w:r>
      <w:r w:rsidR="00DA3AAD" w:rsidRPr="00DA3AAD">
        <w:t>al demand</w:t>
      </w:r>
      <w:r w:rsidRPr="00DA3AAD">
        <w:t xml:space="preserve"> illustrate that an average emissions price of €22 per tCO</w:t>
      </w:r>
      <w:r w:rsidRPr="00DA3AAD">
        <w:rPr>
          <w:vertAlign w:val="subscript"/>
        </w:rPr>
        <w:t>2</w:t>
      </w:r>
      <w:r w:rsidRPr="00DA3AAD">
        <w:t xml:space="preserve"> will lead to a 0.17%, 0.12%, 0.27% and 0.09% reduction in emissions from metal ore, basic metals, electricity and transport sectors respectively.</w:t>
      </w:r>
    </w:p>
    <w:p w:rsidR="0032419C" w:rsidRPr="00DA3AAD" w:rsidRDefault="0032419C" w:rsidP="00D2346B">
      <w:pPr>
        <w:pStyle w:val="Heading2"/>
        <w:spacing w:after="120"/>
        <w:rPr>
          <w:rFonts w:ascii="Times New Roman" w:hAnsi="Times New Roman"/>
          <w:b w:val="0"/>
          <w:i w:val="0"/>
        </w:rPr>
      </w:pPr>
      <w:r w:rsidRPr="00DA3AAD">
        <w:rPr>
          <w:rFonts w:ascii="Times New Roman" w:hAnsi="Times New Roman"/>
          <w:i w:val="0"/>
        </w:rPr>
        <w:t>Conclusions</w:t>
      </w:r>
    </w:p>
    <w:p w:rsidR="002D6F9C" w:rsidRPr="00DA3AAD" w:rsidRDefault="002D6F9C" w:rsidP="00D2346B">
      <w:pPr>
        <w:autoSpaceDE w:val="0"/>
        <w:autoSpaceDN w:val="0"/>
        <w:adjustRightInd w:val="0"/>
        <w:spacing w:before="240"/>
        <w:jc w:val="both"/>
        <w:rPr>
          <w:rFonts w:eastAsia="AdvTimes"/>
        </w:rPr>
      </w:pPr>
      <w:r w:rsidRPr="00DA3AAD">
        <w:rPr>
          <w:rFonts w:eastAsia="AdvTimes"/>
        </w:rPr>
        <w:t>The paper has provided input-output matrixes d</w:t>
      </w:r>
      <w:r w:rsidR="00DA3AAD" w:rsidRPr="00DA3AAD">
        <w:rPr>
          <w:rFonts w:eastAsia="AdvTimes"/>
        </w:rPr>
        <w:t>isaggregate estimation of EU</w:t>
      </w:r>
      <w:r w:rsidR="00AA6899">
        <w:rPr>
          <w:rFonts w:eastAsia="AdvTimes"/>
        </w:rPr>
        <w:t>-15</w:t>
      </w:r>
      <w:r w:rsidR="00DA3AAD" w:rsidRPr="00DA3AAD">
        <w:rPr>
          <w:rFonts w:eastAsia="AdvTimes"/>
        </w:rPr>
        <w:t xml:space="preserve"> </w:t>
      </w:r>
      <w:r w:rsidRPr="00DA3AAD">
        <w:rPr>
          <w:rFonts w:eastAsia="AdvTimes"/>
        </w:rPr>
        <w:t>energy-related CO</w:t>
      </w:r>
      <w:r w:rsidRPr="00DA3AAD">
        <w:rPr>
          <w:rFonts w:eastAsia="AdvTimes"/>
          <w:vertAlign w:val="subscript"/>
        </w:rPr>
        <w:t>2</w:t>
      </w:r>
      <w:r w:rsidRPr="00DA3AAD">
        <w:rPr>
          <w:rFonts w:eastAsia="AdvTimes"/>
        </w:rPr>
        <w:t xml:space="preserve"> emissions and the effects of EU ETS allowance prices levied in EU during 2005. These results were largely derived from the calculation of the 2005 EU energy related CO</w:t>
      </w:r>
      <w:r w:rsidRPr="00DA3AAD">
        <w:rPr>
          <w:rFonts w:eastAsia="AdvTimes"/>
          <w:vertAlign w:val="subscript"/>
        </w:rPr>
        <w:t>2</w:t>
      </w:r>
      <w:r w:rsidRPr="00DA3AAD">
        <w:rPr>
          <w:rFonts w:eastAsia="AdvTimes"/>
        </w:rPr>
        <w:t xml:space="preserve"> intensities through an input–output demand model.</w:t>
      </w:r>
    </w:p>
    <w:p w:rsidR="002D6F9C" w:rsidRPr="00DA3AAD" w:rsidRDefault="00DA3AAD" w:rsidP="00524B3B">
      <w:pPr>
        <w:autoSpaceDE w:val="0"/>
        <w:autoSpaceDN w:val="0"/>
        <w:adjustRightInd w:val="0"/>
        <w:spacing w:before="120"/>
        <w:jc w:val="both"/>
      </w:pPr>
      <w:r w:rsidRPr="00DA3AAD">
        <w:rPr>
          <w:rFonts w:eastAsia="AdvTimes"/>
        </w:rPr>
        <w:t>The empirical analyses of EU</w:t>
      </w:r>
      <w:r w:rsidR="002D6F9C" w:rsidRPr="00DA3AAD">
        <w:rPr>
          <w:rFonts w:eastAsia="AdvTimes"/>
        </w:rPr>
        <w:t xml:space="preserve"> CO</w:t>
      </w:r>
      <w:r w:rsidR="002D6F9C" w:rsidRPr="00DA3AAD">
        <w:rPr>
          <w:rFonts w:eastAsia="AdvTimes"/>
          <w:vertAlign w:val="subscript"/>
        </w:rPr>
        <w:t>2</w:t>
      </w:r>
      <w:r w:rsidR="002D6F9C" w:rsidRPr="00DA3AAD">
        <w:rPr>
          <w:rFonts w:eastAsia="AdvTimes"/>
        </w:rPr>
        <w:t xml:space="preserve"> emissions and of the allowance price effects have reiterate the need for a comprehensive market base strategy in EU climate change policies. The results also signify the need to improve the overall efficiency of the EU energy system, and not only focus on the actual CO</w:t>
      </w:r>
      <w:r w:rsidR="002D6F9C" w:rsidRPr="00DA3AAD">
        <w:rPr>
          <w:rFonts w:eastAsia="AdvTimes"/>
          <w:vertAlign w:val="subscript"/>
        </w:rPr>
        <w:t>2</w:t>
      </w:r>
      <w:r w:rsidR="002D6F9C" w:rsidRPr="00DA3AAD">
        <w:rPr>
          <w:rFonts w:eastAsia="AdvTimes"/>
        </w:rPr>
        <w:t xml:space="preserve"> emitters. Moreover, the study has found the emissions trading mechanism to be a viable and efficient instrument, both in environmental and economic terms.</w:t>
      </w:r>
    </w:p>
    <w:p w:rsidR="0032419C" w:rsidRPr="009A16B5" w:rsidRDefault="0032419C" w:rsidP="00D2346B">
      <w:pPr>
        <w:pStyle w:val="Heading2"/>
        <w:spacing w:after="120"/>
        <w:rPr>
          <w:rFonts w:ascii="Times New Roman" w:hAnsi="Times New Roman"/>
          <w:i w:val="0"/>
          <w:sz w:val="20"/>
        </w:rPr>
      </w:pPr>
      <w:r w:rsidRPr="00EF6150">
        <w:rPr>
          <w:rFonts w:ascii="Times New Roman" w:hAnsi="Times New Roman"/>
          <w:i w:val="0"/>
        </w:rPr>
        <w:lastRenderedPageBreak/>
        <w:t>References</w:t>
      </w:r>
    </w:p>
    <w:p w:rsidR="002D6F9C" w:rsidRPr="002D6F9C" w:rsidRDefault="002D6F9C" w:rsidP="00D2346B">
      <w:pPr>
        <w:pStyle w:val="FootnoteText"/>
        <w:spacing w:before="240"/>
        <w:jc w:val="both"/>
        <w:rPr>
          <w:rFonts w:ascii="Times New Roman" w:hAnsi="Times New Roman"/>
        </w:rPr>
      </w:pPr>
      <w:r w:rsidRPr="005C4899">
        <w:rPr>
          <w:rFonts w:ascii="Times New Roman" w:hAnsi="Times New Roman"/>
          <w:i/>
        </w:rPr>
        <w:t>Kyoto Protocol to the United Nations Framework Convention on Climate Change</w:t>
      </w:r>
      <w:r w:rsidRPr="002D6F9C">
        <w:rPr>
          <w:rFonts w:ascii="Times New Roman" w:hAnsi="Times New Roman"/>
        </w:rPr>
        <w:t>, adopted in New York on 9 May 1992</w:t>
      </w:r>
    </w:p>
    <w:p w:rsidR="002D6F9C" w:rsidRDefault="002D6F9C" w:rsidP="00D449AC">
      <w:pPr>
        <w:pStyle w:val="FootnoteText"/>
        <w:spacing w:before="120"/>
        <w:jc w:val="both"/>
        <w:rPr>
          <w:rFonts w:ascii="Times New Roman" w:hAnsi="Times New Roman"/>
        </w:rPr>
      </w:pPr>
      <w:r w:rsidRPr="005C4899">
        <w:rPr>
          <w:rFonts w:ascii="Times New Roman" w:hAnsi="Times New Roman"/>
          <w:i/>
        </w:rPr>
        <w:t>Emissions Trading Master Agr</w:t>
      </w:r>
      <w:r w:rsidR="005C4899" w:rsidRPr="005C4899">
        <w:rPr>
          <w:rFonts w:ascii="Times New Roman" w:hAnsi="Times New Roman"/>
          <w:i/>
        </w:rPr>
        <w:t>eement for the EU Scheme</w:t>
      </w:r>
      <w:r w:rsidR="005C4899">
        <w:rPr>
          <w:rFonts w:ascii="Times New Roman" w:hAnsi="Times New Roman"/>
        </w:rPr>
        <w:t xml:space="preserve"> (Draft</w:t>
      </w:r>
      <w:r w:rsidRPr="002D6F9C">
        <w:rPr>
          <w:rFonts w:ascii="Times New Roman" w:hAnsi="Times New Roman"/>
        </w:rPr>
        <w:t xml:space="preserve"> developed by the International Emissions Trading Association (IETA) Version 2.1 (2005)</w:t>
      </w:r>
    </w:p>
    <w:p w:rsidR="00CC29F1" w:rsidRPr="002D6F9C" w:rsidRDefault="00CC29F1" w:rsidP="00D449AC">
      <w:pPr>
        <w:pStyle w:val="FootnoteText"/>
        <w:spacing w:before="120"/>
        <w:jc w:val="both"/>
        <w:rPr>
          <w:rFonts w:ascii="Times New Roman" w:hAnsi="Times New Roman"/>
        </w:rPr>
      </w:pPr>
      <w:r w:rsidRPr="00CC29F1">
        <w:rPr>
          <w:rFonts w:ascii="Times New Roman" w:hAnsi="Times New Roman"/>
          <w:i/>
        </w:rPr>
        <w:t xml:space="preserve">Tracking Progress </w:t>
      </w:r>
      <w:r w:rsidR="00516ADC" w:rsidRPr="00CC29F1">
        <w:rPr>
          <w:rFonts w:ascii="Times New Roman" w:hAnsi="Times New Roman"/>
          <w:i/>
        </w:rPr>
        <w:t>towards</w:t>
      </w:r>
      <w:r w:rsidRPr="00CC29F1">
        <w:rPr>
          <w:rFonts w:ascii="Times New Roman" w:hAnsi="Times New Roman"/>
          <w:i/>
        </w:rPr>
        <w:t xml:space="preserve"> Kyoto and 2020 Targets in Europe</w:t>
      </w:r>
      <w:r>
        <w:rPr>
          <w:rFonts w:ascii="Times New Roman" w:hAnsi="Times New Roman"/>
        </w:rPr>
        <w:t>, EEA Report No7, 2010</w:t>
      </w:r>
    </w:p>
    <w:p w:rsidR="00574501" w:rsidRPr="00574501" w:rsidRDefault="00574501" w:rsidP="00574501">
      <w:pPr>
        <w:spacing w:before="120"/>
        <w:ind w:right="-45"/>
        <w:jc w:val="both"/>
        <w:rPr>
          <w:rFonts w:ascii="Times-Roman" w:hAnsi="Times-Roman" w:cs="Times-Roman"/>
          <w:sz w:val="24"/>
          <w:szCs w:val="24"/>
        </w:rPr>
      </w:pPr>
      <w:proofErr w:type="gramStart"/>
      <w:r w:rsidRPr="00574501">
        <w:rPr>
          <w:rFonts w:ascii="Times-Roman" w:hAnsi="Times-Roman" w:cs="Times-Roman"/>
          <w:szCs w:val="24"/>
        </w:rPr>
        <w:t>Alfred</w:t>
      </w:r>
      <w:r>
        <w:rPr>
          <w:rFonts w:ascii="Times-Roman" w:hAnsi="Times-Roman" w:cs="Times-Roman"/>
          <w:szCs w:val="24"/>
        </w:rPr>
        <w:t>,</w:t>
      </w:r>
      <w:r w:rsidRPr="00574501">
        <w:rPr>
          <w:rFonts w:ascii="Times-Roman" w:hAnsi="Times-Roman" w:cs="Times-Roman"/>
          <w:szCs w:val="24"/>
        </w:rPr>
        <w:t xml:space="preserve"> E</w:t>
      </w:r>
      <w:r>
        <w:rPr>
          <w:rFonts w:ascii="Times-Roman" w:hAnsi="Times-Roman" w:cs="Times-Roman"/>
          <w:szCs w:val="24"/>
        </w:rPr>
        <w:t>.,</w:t>
      </w:r>
      <w:r w:rsidRPr="00574501">
        <w:rPr>
          <w:rFonts w:ascii="Times-Roman" w:hAnsi="Times-Roman" w:cs="Times-Roman"/>
          <w:szCs w:val="24"/>
        </w:rPr>
        <w:t xml:space="preserve"> and Cornelia</w:t>
      </w:r>
      <w:r>
        <w:rPr>
          <w:rFonts w:ascii="Times-Roman" w:hAnsi="Times-Roman" w:cs="Times-Roman"/>
          <w:szCs w:val="24"/>
        </w:rPr>
        <w:t>.</w:t>
      </w:r>
      <w:proofErr w:type="gramEnd"/>
      <w:r w:rsidRPr="00574501">
        <w:rPr>
          <w:rFonts w:ascii="Times-Roman" w:hAnsi="Times-Roman" w:cs="Times-Roman"/>
          <w:szCs w:val="24"/>
        </w:rPr>
        <w:t xml:space="preserve"> O</w:t>
      </w:r>
      <w:r>
        <w:rPr>
          <w:rFonts w:ascii="Times-Roman" w:hAnsi="Times-Roman" w:cs="Times-Roman"/>
          <w:szCs w:val="24"/>
        </w:rPr>
        <w:t>.,</w:t>
      </w:r>
      <w:r w:rsidRPr="00574501">
        <w:rPr>
          <w:rFonts w:ascii="Times-Roman" w:hAnsi="Times-Roman" w:cs="Times-Roman"/>
          <w:szCs w:val="24"/>
        </w:rPr>
        <w:t xml:space="preserve"> </w:t>
      </w:r>
      <w:r w:rsidRPr="00574501">
        <w:rPr>
          <w:rFonts w:ascii="Times-Roman" w:hAnsi="Times-Roman" w:cs="Times-Roman"/>
          <w:i/>
          <w:szCs w:val="24"/>
        </w:rPr>
        <w:t>Kyoto, Europe?—</w:t>
      </w:r>
      <w:proofErr w:type="gramStart"/>
      <w:r w:rsidRPr="00574501">
        <w:rPr>
          <w:rFonts w:ascii="Times-Roman" w:hAnsi="Times-Roman" w:cs="Times-Roman"/>
          <w:i/>
          <w:szCs w:val="24"/>
        </w:rPr>
        <w:t>An</w:t>
      </w:r>
      <w:proofErr w:type="gramEnd"/>
      <w:r w:rsidRPr="00574501">
        <w:rPr>
          <w:rFonts w:ascii="Times-Roman" w:hAnsi="Times-Roman" w:cs="Times-Roman"/>
          <w:i/>
          <w:szCs w:val="24"/>
        </w:rPr>
        <w:t xml:space="preserve"> Economic Evaluation of the European Emission Trading Directive</w:t>
      </w:r>
      <w:r>
        <w:rPr>
          <w:rFonts w:ascii="Times-Roman" w:hAnsi="Times-Roman" w:cs="Times-Roman"/>
          <w:i/>
          <w:szCs w:val="24"/>
        </w:rPr>
        <w:t xml:space="preserve">, </w:t>
      </w:r>
      <w:r w:rsidRPr="00574501">
        <w:rPr>
          <w:rFonts w:ascii="Times-Roman" w:eastAsiaTheme="minorHAnsi" w:hAnsi="Times-Roman" w:cs="Times-Roman"/>
          <w:szCs w:val="16"/>
        </w:rPr>
        <w:t>European Journal of Law and Economics, 19: 17–39, 2005</w:t>
      </w:r>
    </w:p>
    <w:p w:rsidR="002D6F9C" w:rsidRPr="002D6F9C" w:rsidRDefault="002D6F9C" w:rsidP="00D449AC">
      <w:pPr>
        <w:autoSpaceDE w:val="0"/>
        <w:autoSpaceDN w:val="0"/>
        <w:adjustRightInd w:val="0"/>
        <w:spacing w:before="120"/>
        <w:jc w:val="both"/>
        <w:rPr>
          <w:i/>
        </w:rPr>
      </w:pPr>
      <w:r w:rsidRPr="002D6F9C">
        <w:t xml:space="preserve">Arnold, T., et al., </w:t>
      </w:r>
      <w:r w:rsidRPr="002D6F9C">
        <w:rPr>
          <w:rFonts w:eastAsiaTheme="minorHAnsi"/>
          <w:bCs/>
          <w:i/>
        </w:rPr>
        <w:t xml:space="preserve">Environmentally extended input-output tables and models for Europe, </w:t>
      </w:r>
      <w:r w:rsidRPr="002D6F9C">
        <w:rPr>
          <w:rFonts w:eastAsiaTheme="minorHAnsi"/>
        </w:rPr>
        <w:t xml:space="preserve">Institute for Prospective Technological Studies European Commission - </w:t>
      </w:r>
      <w:r w:rsidRPr="002D6F9C">
        <w:rPr>
          <w:rFonts w:eastAsiaTheme="minorHAnsi"/>
          <w:bCs/>
        </w:rPr>
        <w:t>Report EUR 22194 EN (</w:t>
      </w:r>
      <w:r w:rsidRPr="002D6F9C">
        <w:rPr>
          <w:rFonts w:eastAsiaTheme="minorHAnsi"/>
        </w:rPr>
        <w:t>2006)</w:t>
      </w:r>
    </w:p>
    <w:p w:rsidR="002D6F9C" w:rsidRPr="002D6F9C" w:rsidRDefault="002D6F9C" w:rsidP="00D449AC">
      <w:pPr>
        <w:autoSpaceDE w:val="0"/>
        <w:autoSpaceDN w:val="0"/>
        <w:adjustRightInd w:val="0"/>
        <w:spacing w:before="120"/>
        <w:jc w:val="both"/>
        <w:rPr>
          <w:rFonts w:eastAsiaTheme="minorHAnsi"/>
        </w:rPr>
      </w:pPr>
      <w:proofErr w:type="spellStart"/>
      <w:r w:rsidRPr="002D6F9C">
        <w:rPr>
          <w:rFonts w:eastAsiaTheme="minorHAnsi"/>
        </w:rPr>
        <w:t>Convery</w:t>
      </w:r>
      <w:proofErr w:type="spellEnd"/>
      <w:r w:rsidRPr="002D6F9C">
        <w:rPr>
          <w:rFonts w:eastAsiaTheme="minorHAnsi"/>
        </w:rPr>
        <w:t xml:space="preserve"> F. J.</w:t>
      </w:r>
      <w:r w:rsidRPr="002D6F9C">
        <w:rPr>
          <w:rFonts w:eastAsia="MTSY"/>
        </w:rPr>
        <w:t xml:space="preserve"> </w:t>
      </w:r>
      <w:r w:rsidRPr="002D6F9C">
        <w:rPr>
          <w:rFonts w:eastAsiaTheme="minorHAnsi"/>
        </w:rPr>
        <w:t xml:space="preserve">and Redmond L., </w:t>
      </w:r>
      <w:r w:rsidRPr="002D6F9C">
        <w:rPr>
          <w:rFonts w:eastAsiaTheme="minorHAnsi"/>
          <w:i/>
        </w:rPr>
        <w:t>Market and Price Developments in the European Union Emissions Trading Scheme</w:t>
      </w:r>
      <w:r w:rsidRPr="002D6F9C">
        <w:rPr>
          <w:rFonts w:eastAsiaTheme="minorHAnsi"/>
        </w:rPr>
        <w:t xml:space="preserve">, </w:t>
      </w:r>
      <w:r w:rsidRPr="002D6F9C">
        <w:rPr>
          <w:rFonts w:eastAsiaTheme="minorHAnsi"/>
          <w:iCs/>
        </w:rPr>
        <w:t>Review of Environmental Economics and Policy</w:t>
      </w:r>
      <w:r w:rsidRPr="002D6F9C">
        <w:rPr>
          <w:rFonts w:eastAsiaTheme="minorHAnsi"/>
        </w:rPr>
        <w:t>, volume 1, issue 1, winter 2007, pp. 88–111</w:t>
      </w:r>
    </w:p>
    <w:p w:rsidR="002D6F9C" w:rsidRPr="002D6F9C" w:rsidRDefault="002D6F9C" w:rsidP="00D449AC">
      <w:pPr>
        <w:pStyle w:val="FootnoteText"/>
        <w:spacing w:before="120"/>
        <w:jc w:val="both"/>
        <w:rPr>
          <w:rFonts w:ascii="Times New Roman" w:hAnsi="Times New Roman"/>
        </w:rPr>
      </w:pPr>
      <w:r w:rsidRPr="002D6F9C">
        <w:rPr>
          <w:rFonts w:ascii="Times New Roman" w:hAnsi="Times New Roman"/>
        </w:rPr>
        <w:t xml:space="preserve">Denny, E. A., and </w:t>
      </w:r>
      <w:proofErr w:type="spellStart"/>
      <w:r w:rsidRPr="002D6F9C">
        <w:rPr>
          <w:rFonts w:ascii="Times New Roman" w:hAnsi="Times New Roman"/>
        </w:rPr>
        <w:t>Joskow</w:t>
      </w:r>
      <w:proofErr w:type="spellEnd"/>
      <w:r w:rsidRPr="002D6F9C">
        <w:rPr>
          <w:rFonts w:ascii="Times New Roman" w:hAnsi="Times New Roman"/>
        </w:rPr>
        <w:t xml:space="preserve"> P. L., </w:t>
      </w:r>
      <w:r w:rsidRPr="002D6F9C">
        <w:rPr>
          <w:rFonts w:ascii="Times New Roman" w:hAnsi="Times New Roman"/>
          <w:i/>
        </w:rPr>
        <w:t xml:space="preserve">The European Union’s Emissions Trading System in perspective, </w:t>
      </w:r>
      <w:r w:rsidRPr="002D6F9C">
        <w:rPr>
          <w:rFonts w:ascii="Times New Roman" w:hAnsi="Times New Roman"/>
        </w:rPr>
        <w:t>PEW Centre on Global Climate Change (2008)</w:t>
      </w:r>
    </w:p>
    <w:p w:rsidR="002D6F9C" w:rsidRPr="002D6F9C" w:rsidRDefault="002D6F9C" w:rsidP="00D449AC">
      <w:pPr>
        <w:pStyle w:val="FootnoteText"/>
        <w:spacing w:before="120"/>
        <w:jc w:val="both"/>
        <w:rPr>
          <w:rFonts w:ascii="Times New Roman" w:hAnsi="Times New Roman"/>
        </w:rPr>
      </w:pPr>
      <w:proofErr w:type="spellStart"/>
      <w:r w:rsidRPr="002D6F9C">
        <w:rPr>
          <w:rFonts w:ascii="Times New Roman" w:hAnsi="Times New Roman"/>
        </w:rPr>
        <w:t>Ekins</w:t>
      </w:r>
      <w:proofErr w:type="spellEnd"/>
      <w:r w:rsidRPr="002D6F9C">
        <w:rPr>
          <w:rFonts w:ascii="Times New Roman" w:hAnsi="Times New Roman"/>
        </w:rPr>
        <w:t xml:space="preserve">, P., and Barker, T., </w:t>
      </w:r>
      <w:r w:rsidRPr="002D6F9C">
        <w:rPr>
          <w:rFonts w:ascii="Times New Roman" w:hAnsi="Times New Roman"/>
          <w:i/>
        </w:rPr>
        <w:t xml:space="preserve">Carbon Tax and Carbon Emission Trading, </w:t>
      </w:r>
      <w:proofErr w:type="spellStart"/>
      <w:r w:rsidRPr="002D6F9C">
        <w:rPr>
          <w:rFonts w:ascii="Times New Roman" w:hAnsi="Times New Roman"/>
        </w:rPr>
        <w:t>Jounal</w:t>
      </w:r>
      <w:proofErr w:type="spellEnd"/>
      <w:r w:rsidRPr="002D6F9C">
        <w:rPr>
          <w:rFonts w:ascii="Times New Roman" w:hAnsi="Times New Roman"/>
        </w:rPr>
        <w:t xml:space="preserve"> of Economic Survey Vol. 5 No. 3 (2001)</w:t>
      </w:r>
    </w:p>
    <w:p w:rsidR="002D6F9C" w:rsidRPr="002D6F9C" w:rsidRDefault="002D6F9C" w:rsidP="00D449AC">
      <w:pPr>
        <w:autoSpaceDE w:val="0"/>
        <w:autoSpaceDN w:val="0"/>
        <w:adjustRightInd w:val="0"/>
        <w:spacing w:before="120"/>
        <w:jc w:val="both"/>
      </w:pPr>
      <w:proofErr w:type="spellStart"/>
      <w:r w:rsidRPr="002D6F9C">
        <w:t>Endres</w:t>
      </w:r>
      <w:proofErr w:type="spellEnd"/>
      <w:r w:rsidRPr="002D6F9C">
        <w:t xml:space="preserve">, A., and OHL, C., </w:t>
      </w:r>
      <w:r w:rsidRPr="002D6F9C">
        <w:rPr>
          <w:i/>
        </w:rPr>
        <w:t xml:space="preserve">Kyoto, Europe? - An Economic Evaluation of the European Emission Trading Directive, </w:t>
      </w:r>
      <w:r w:rsidRPr="002D6F9C">
        <w:t>European Journal of Law and Economics, 19: 17–39, 2005</w:t>
      </w:r>
    </w:p>
    <w:p w:rsidR="00574501" w:rsidRDefault="002D6F9C" w:rsidP="00574501">
      <w:pPr>
        <w:spacing w:before="120"/>
        <w:ind w:right="-45"/>
        <w:jc w:val="both"/>
        <w:rPr>
          <w:lang w:eastAsia="en-GB"/>
        </w:rPr>
      </w:pPr>
      <w:proofErr w:type="spellStart"/>
      <w:r w:rsidRPr="002D6F9C">
        <w:rPr>
          <w:rFonts w:eastAsiaTheme="minorHAnsi"/>
        </w:rPr>
        <w:t>Hasselknippe</w:t>
      </w:r>
      <w:proofErr w:type="spellEnd"/>
      <w:r w:rsidRPr="002D6F9C">
        <w:rPr>
          <w:rFonts w:eastAsiaTheme="minorHAnsi"/>
        </w:rPr>
        <w:t xml:space="preserve">, H. and K. </w:t>
      </w:r>
      <w:proofErr w:type="spellStart"/>
      <w:r w:rsidRPr="002D6F9C">
        <w:rPr>
          <w:rFonts w:eastAsiaTheme="minorHAnsi"/>
        </w:rPr>
        <w:t>Røine</w:t>
      </w:r>
      <w:proofErr w:type="spellEnd"/>
      <w:r w:rsidRPr="002D6F9C">
        <w:rPr>
          <w:rFonts w:eastAsiaTheme="minorHAnsi"/>
        </w:rPr>
        <w:t xml:space="preserve"> eds., </w:t>
      </w:r>
      <w:r w:rsidRPr="002D6F9C">
        <w:rPr>
          <w:rFonts w:eastAsiaTheme="minorHAnsi"/>
          <w:i/>
        </w:rPr>
        <w:t>Point Carbon - ”Carbon 2006.”,</w:t>
      </w:r>
      <w:r w:rsidRPr="002D6F9C">
        <w:rPr>
          <w:rFonts w:eastAsiaTheme="minorHAnsi"/>
        </w:rPr>
        <w:t xml:space="preserve"> Carbon Market Insights, Copenhagen, 2006. Available from www.pointcarbon.com</w:t>
      </w:r>
      <w:r w:rsidR="00574501" w:rsidRPr="00574501">
        <w:rPr>
          <w:lang w:eastAsia="en-GB"/>
        </w:rPr>
        <w:t xml:space="preserve"> </w:t>
      </w:r>
    </w:p>
    <w:p w:rsidR="00574501" w:rsidRDefault="00574501" w:rsidP="00574501">
      <w:pPr>
        <w:spacing w:before="120"/>
        <w:ind w:right="-45"/>
        <w:jc w:val="both"/>
        <w:rPr>
          <w:lang w:eastAsia="en-GB"/>
        </w:rPr>
      </w:pPr>
      <w:r w:rsidRPr="002D6F9C">
        <w:rPr>
          <w:lang w:eastAsia="en-GB"/>
        </w:rPr>
        <w:t xml:space="preserve">James T., and </w:t>
      </w:r>
      <w:proofErr w:type="spellStart"/>
      <w:r w:rsidRPr="002D6F9C">
        <w:rPr>
          <w:lang w:eastAsia="en-GB"/>
        </w:rPr>
        <w:t>Fusaro</w:t>
      </w:r>
      <w:proofErr w:type="spellEnd"/>
      <w:r w:rsidRPr="002D6F9C">
        <w:rPr>
          <w:lang w:eastAsia="en-GB"/>
        </w:rPr>
        <w:t xml:space="preserve"> C., P</w:t>
      </w:r>
      <w:r w:rsidRPr="00574501">
        <w:rPr>
          <w:i/>
          <w:lang w:eastAsia="en-GB"/>
        </w:rPr>
        <w:t>., Energy &amp; Emissions Markets Collision or Convergence?</w:t>
      </w:r>
      <w:r w:rsidRPr="002D6F9C">
        <w:rPr>
          <w:lang w:eastAsia="en-GB"/>
        </w:rPr>
        <w:t xml:space="preserve"> (</w:t>
      </w:r>
      <w:proofErr w:type="spellStart"/>
      <w:r w:rsidRPr="002D6F9C">
        <w:rPr>
          <w:lang w:eastAsia="en-GB"/>
        </w:rPr>
        <w:t>Clementi</w:t>
      </w:r>
      <w:proofErr w:type="spellEnd"/>
      <w:r w:rsidRPr="002D6F9C">
        <w:rPr>
          <w:lang w:eastAsia="en-GB"/>
        </w:rPr>
        <w:t xml:space="preserve"> Loop, Singapore: John Wiley &amp; Sons (Asia) </w:t>
      </w:r>
      <w:proofErr w:type="spellStart"/>
      <w:proofErr w:type="gramStart"/>
      <w:r w:rsidRPr="002D6F9C">
        <w:rPr>
          <w:lang w:eastAsia="en-GB"/>
        </w:rPr>
        <w:t>te</w:t>
      </w:r>
      <w:proofErr w:type="spellEnd"/>
      <w:proofErr w:type="gramEnd"/>
      <w:r w:rsidRPr="002D6F9C">
        <w:rPr>
          <w:lang w:eastAsia="en-GB"/>
        </w:rPr>
        <w:t xml:space="preserve"> Ltd, 2006)</w:t>
      </w:r>
    </w:p>
    <w:p w:rsidR="002D6F9C" w:rsidRPr="002D6F9C" w:rsidRDefault="002D6F9C" w:rsidP="00D449AC">
      <w:pPr>
        <w:autoSpaceDE w:val="0"/>
        <w:autoSpaceDN w:val="0"/>
        <w:adjustRightInd w:val="0"/>
        <w:spacing w:before="120"/>
        <w:jc w:val="both"/>
      </w:pPr>
      <w:proofErr w:type="spellStart"/>
      <w:r w:rsidRPr="002D6F9C">
        <w:t>Labandeira</w:t>
      </w:r>
      <w:proofErr w:type="spellEnd"/>
      <w:r w:rsidRPr="002D6F9C">
        <w:t xml:space="preserve">, X., and </w:t>
      </w:r>
      <w:proofErr w:type="spellStart"/>
      <w:r w:rsidRPr="002D6F9C">
        <w:t>Labeaga</w:t>
      </w:r>
      <w:proofErr w:type="spellEnd"/>
      <w:r w:rsidRPr="002D6F9C">
        <w:t xml:space="preserve">, J. M., </w:t>
      </w:r>
      <w:r w:rsidRPr="002D6F9C">
        <w:rPr>
          <w:i/>
        </w:rPr>
        <w:t xml:space="preserve">Estimation and Control of Spanish Energy-Related CO2 Emission: an Input-Output approach, </w:t>
      </w:r>
      <w:r w:rsidRPr="002D6F9C">
        <w:t>Journal of Energy Policy 30 (2002) 597-611</w:t>
      </w:r>
    </w:p>
    <w:p w:rsidR="00C94A83" w:rsidRDefault="002D6F9C" w:rsidP="00D449AC">
      <w:pPr>
        <w:autoSpaceDE w:val="0"/>
        <w:autoSpaceDN w:val="0"/>
        <w:adjustRightInd w:val="0"/>
        <w:spacing w:before="120"/>
        <w:jc w:val="both"/>
      </w:pPr>
      <w:r w:rsidRPr="002D6F9C">
        <w:t xml:space="preserve">Machado, G., et al., </w:t>
      </w:r>
      <w:r w:rsidRPr="002D6F9C">
        <w:rPr>
          <w:i/>
        </w:rPr>
        <w:t xml:space="preserve">Energy and carbon embodied in the international trade of Brazil: an input–output approach, </w:t>
      </w:r>
      <w:r w:rsidRPr="002D6F9C">
        <w:t>Journal of Ecological Economics 39 (2001) 409–424</w:t>
      </w:r>
    </w:p>
    <w:p w:rsidR="002D6F9C" w:rsidRPr="002D6F9C" w:rsidRDefault="00C94A83" w:rsidP="00D449AC">
      <w:pPr>
        <w:autoSpaceDE w:val="0"/>
        <w:autoSpaceDN w:val="0"/>
        <w:adjustRightInd w:val="0"/>
        <w:spacing w:before="120"/>
        <w:jc w:val="both"/>
      </w:pPr>
      <w:r>
        <w:t xml:space="preserve"> </w:t>
      </w:r>
      <w:r w:rsidRPr="00C94A83">
        <w:rPr>
          <w:rFonts w:eastAsia="AkzidenzGroteskBE-Regular"/>
        </w:rPr>
        <w:t>Nicholas</w:t>
      </w:r>
      <w:r>
        <w:rPr>
          <w:rFonts w:eastAsia="AkzidenzGroteskBE-Regular"/>
        </w:rPr>
        <w:t>, L.</w:t>
      </w:r>
      <w:r w:rsidRPr="00C94A83">
        <w:rPr>
          <w:rFonts w:eastAsia="AkzidenzGroteskBE-Regular"/>
        </w:rPr>
        <w:t>,</w:t>
      </w:r>
      <w:r>
        <w:rPr>
          <w:rFonts w:eastAsia="AkzidenzGroteskBE-Regular"/>
        </w:rPr>
        <w:t xml:space="preserve"> et al., </w:t>
      </w:r>
      <w:r w:rsidRPr="00C94A83">
        <w:rPr>
          <w:rFonts w:eastAsia="AkzidenzGroteskBE-Regular"/>
          <w:i/>
        </w:rPr>
        <w:t>State and Trends of the Carbon Market 2011</w:t>
      </w:r>
      <w:r>
        <w:rPr>
          <w:rFonts w:eastAsia="AkzidenzGroteskBE-Regular"/>
        </w:rPr>
        <w:t>, Carbon Finance Report at the World Bank 2010</w:t>
      </w:r>
    </w:p>
    <w:p w:rsidR="002D6F9C" w:rsidRPr="002D6F9C" w:rsidRDefault="002D6F9C" w:rsidP="00D449AC">
      <w:pPr>
        <w:autoSpaceDE w:val="0"/>
        <w:autoSpaceDN w:val="0"/>
        <w:adjustRightInd w:val="0"/>
        <w:spacing w:before="120"/>
        <w:jc w:val="both"/>
        <w:rPr>
          <w:rFonts w:eastAsiaTheme="minorHAnsi"/>
        </w:rPr>
      </w:pPr>
      <w:r w:rsidRPr="002D6F9C">
        <w:rPr>
          <w:rFonts w:eastAsiaTheme="minorHAnsi"/>
          <w:bCs/>
        </w:rPr>
        <w:t>Rueda-</w:t>
      </w:r>
      <w:proofErr w:type="spellStart"/>
      <w:r w:rsidRPr="002D6F9C">
        <w:rPr>
          <w:rFonts w:eastAsiaTheme="minorHAnsi"/>
          <w:bCs/>
        </w:rPr>
        <w:t>Cantuche</w:t>
      </w:r>
      <w:proofErr w:type="spellEnd"/>
      <w:r w:rsidRPr="002D6F9C">
        <w:rPr>
          <w:rFonts w:eastAsiaTheme="minorHAnsi"/>
          <w:bCs/>
        </w:rPr>
        <w:t xml:space="preserve">, J., et al., </w:t>
      </w:r>
      <w:r w:rsidRPr="002D6F9C">
        <w:rPr>
          <w:rFonts w:eastAsiaTheme="minorHAnsi"/>
          <w:bCs/>
          <w:i/>
        </w:rPr>
        <w:t xml:space="preserve">A Symmetric Input-Output Table for EU27: Latest Progress, </w:t>
      </w:r>
      <w:r w:rsidRPr="002D6F9C">
        <w:rPr>
          <w:rFonts w:eastAsiaTheme="minorHAnsi"/>
        </w:rPr>
        <w:t xml:space="preserve">European Commission - DG Joint Research </w:t>
      </w:r>
      <w:proofErr w:type="spellStart"/>
      <w:r w:rsidRPr="002D6F9C">
        <w:rPr>
          <w:rFonts w:eastAsiaTheme="minorHAnsi"/>
        </w:rPr>
        <w:t>Center</w:t>
      </w:r>
      <w:proofErr w:type="spellEnd"/>
      <w:r w:rsidRPr="002D6F9C">
        <w:rPr>
          <w:rFonts w:eastAsiaTheme="minorHAnsi"/>
        </w:rPr>
        <w:t xml:space="preserve">, IPTS - Institute for Prospective Technological Studies, </w:t>
      </w:r>
      <w:proofErr w:type="spellStart"/>
      <w:r w:rsidRPr="002D6F9C">
        <w:rPr>
          <w:rFonts w:eastAsiaTheme="minorHAnsi"/>
        </w:rPr>
        <w:t>Edificio</w:t>
      </w:r>
      <w:proofErr w:type="spellEnd"/>
      <w:r w:rsidRPr="002D6F9C">
        <w:rPr>
          <w:rFonts w:eastAsiaTheme="minorHAnsi"/>
        </w:rPr>
        <w:t xml:space="preserve"> EXPO, C/Inca </w:t>
      </w:r>
      <w:proofErr w:type="spellStart"/>
      <w:r w:rsidRPr="002D6F9C">
        <w:rPr>
          <w:rFonts w:eastAsiaTheme="minorHAnsi"/>
        </w:rPr>
        <w:t>Garcilaso</w:t>
      </w:r>
      <w:proofErr w:type="spellEnd"/>
      <w:r w:rsidRPr="002D6F9C">
        <w:rPr>
          <w:rFonts w:eastAsiaTheme="minorHAnsi"/>
        </w:rPr>
        <w:t xml:space="preserve"> s/n, 410092.</w:t>
      </w:r>
    </w:p>
    <w:p w:rsidR="002D6F9C" w:rsidRPr="002D6F9C" w:rsidRDefault="002D6F9C" w:rsidP="00D449AC">
      <w:pPr>
        <w:autoSpaceDE w:val="0"/>
        <w:autoSpaceDN w:val="0"/>
        <w:adjustRightInd w:val="0"/>
        <w:spacing w:before="120"/>
        <w:jc w:val="both"/>
        <w:rPr>
          <w:rFonts w:eastAsiaTheme="minorHAnsi"/>
        </w:rPr>
      </w:pPr>
      <w:proofErr w:type="spellStart"/>
      <w:r w:rsidRPr="002D6F9C">
        <w:rPr>
          <w:rFonts w:eastAsiaTheme="minorHAnsi"/>
        </w:rPr>
        <w:t>Sijm</w:t>
      </w:r>
      <w:proofErr w:type="spellEnd"/>
      <w:r w:rsidRPr="002D6F9C">
        <w:rPr>
          <w:rFonts w:eastAsiaTheme="minorHAnsi"/>
        </w:rPr>
        <w:t xml:space="preserve">, et al., </w:t>
      </w:r>
      <w:r w:rsidRPr="002D6F9C">
        <w:rPr>
          <w:rFonts w:eastAsiaTheme="minorHAnsi"/>
          <w:i/>
        </w:rPr>
        <w:t>CO</w:t>
      </w:r>
      <w:r w:rsidRPr="002D6F9C">
        <w:rPr>
          <w:rFonts w:eastAsiaTheme="minorHAnsi"/>
          <w:i/>
          <w:vertAlign w:val="subscript"/>
        </w:rPr>
        <w:t>2</w:t>
      </w:r>
      <w:r w:rsidRPr="002D6F9C">
        <w:rPr>
          <w:rFonts w:eastAsiaTheme="minorHAnsi"/>
          <w:i/>
        </w:rPr>
        <w:t xml:space="preserve"> Price Dynamics:</w:t>
      </w:r>
      <w:r w:rsidRPr="002D6F9C">
        <w:rPr>
          <w:i/>
        </w:rPr>
        <w:t xml:space="preserve"> </w:t>
      </w:r>
      <w:r w:rsidRPr="002D6F9C">
        <w:rPr>
          <w:rFonts w:eastAsiaTheme="minorHAnsi"/>
          <w:i/>
        </w:rPr>
        <w:t xml:space="preserve">The Implications of EU Emissions Trading for the Price of Electricity, </w:t>
      </w:r>
      <w:r w:rsidRPr="002D6F9C">
        <w:rPr>
          <w:rFonts w:eastAsiaTheme="minorHAnsi"/>
        </w:rPr>
        <w:t>Energy Research Centre of the Netherlands (2005) ECN-C-05-081</w:t>
      </w:r>
    </w:p>
    <w:p w:rsidR="002D6F9C" w:rsidRPr="002D6F9C" w:rsidRDefault="002D6F9C" w:rsidP="00D449AC">
      <w:pPr>
        <w:autoSpaceDE w:val="0"/>
        <w:autoSpaceDN w:val="0"/>
        <w:adjustRightInd w:val="0"/>
        <w:spacing w:before="120"/>
        <w:jc w:val="both"/>
        <w:rPr>
          <w:rFonts w:eastAsiaTheme="minorHAnsi"/>
        </w:rPr>
      </w:pPr>
      <w:proofErr w:type="spellStart"/>
      <w:r w:rsidRPr="002D6F9C">
        <w:rPr>
          <w:rFonts w:eastAsiaTheme="minorHAnsi"/>
        </w:rPr>
        <w:t>Wrake</w:t>
      </w:r>
      <w:proofErr w:type="spellEnd"/>
      <w:r w:rsidRPr="002D6F9C">
        <w:rPr>
          <w:rFonts w:eastAsiaTheme="minorHAnsi"/>
        </w:rPr>
        <w:t xml:space="preserve">, M., </w:t>
      </w:r>
      <w:r w:rsidRPr="002D6F9C">
        <w:rPr>
          <w:rFonts w:eastAsiaTheme="minorHAnsi"/>
          <w:i/>
        </w:rPr>
        <w:t>Emissions Trading: The Ugly Duckling in European Climate Policy?</w:t>
      </w:r>
      <w:r w:rsidRPr="002D6F9C">
        <w:rPr>
          <w:rFonts w:eastAsiaTheme="minorHAnsi"/>
        </w:rPr>
        <w:t xml:space="preserve"> Swedish Environmental Research Institute (2009) B1856   </w:t>
      </w:r>
    </w:p>
    <w:p w:rsidR="0032419C" w:rsidRPr="009A16B5" w:rsidRDefault="0032419C" w:rsidP="0032419C"/>
    <w:p w:rsidR="00440BA2" w:rsidRDefault="00440BA2"/>
    <w:sectPr w:rsidR="00440BA2" w:rsidSect="002A39FE">
      <w:headerReference w:type="first" r:id="rId8"/>
      <w:pgSz w:w="12240" w:h="15840"/>
      <w:pgMar w:top="1206" w:right="990" w:bottom="1134"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ED" w:rsidRDefault="007D71ED" w:rsidP="006073F2">
      <w:r>
        <w:separator/>
      </w:r>
    </w:p>
  </w:endnote>
  <w:endnote w:type="continuationSeparator" w:id="0">
    <w:p w:rsidR="007D71ED" w:rsidRDefault="007D71ED" w:rsidP="0060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vTimes">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AkzidenzGroteskBE-Regular">
    <w:altName w:val="Arial Unicode MS"/>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ED" w:rsidRDefault="007D71ED" w:rsidP="006073F2">
      <w:r>
        <w:separator/>
      </w:r>
    </w:p>
  </w:footnote>
  <w:footnote w:type="continuationSeparator" w:id="0">
    <w:p w:rsidR="007D71ED" w:rsidRDefault="007D71ED" w:rsidP="00607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86" w:rsidRDefault="0036404D" w:rsidP="00D767DA">
    <w:pPr>
      <w:pStyle w:val="Header"/>
      <w:tabs>
        <w:tab w:val="clear" w:pos="5400"/>
        <w:tab w:val="center" w:pos="851"/>
      </w:tabs>
      <w:jc w:val="right"/>
    </w:pPr>
    <w:r>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9C"/>
    <w:rsid w:val="000623C7"/>
    <w:rsid w:val="000C2BFA"/>
    <w:rsid w:val="000C4888"/>
    <w:rsid w:val="000D70B8"/>
    <w:rsid w:val="001028FD"/>
    <w:rsid w:val="001A2778"/>
    <w:rsid w:val="00211BC6"/>
    <w:rsid w:val="00211E96"/>
    <w:rsid w:val="002538F0"/>
    <w:rsid w:val="002A39FE"/>
    <w:rsid w:val="002A460A"/>
    <w:rsid w:val="002D6F9C"/>
    <w:rsid w:val="00314CC9"/>
    <w:rsid w:val="0032419C"/>
    <w:rsid w:val="0032692D"/>
    <w:rsid w:val="0036404D"/>
    <w:rsid w:val="003D14FF"/>
    <w:rsid w:val="004124F6"/>
    <w:rsid w:val="004220F1"/>
    <w:rsid w:val="00440BA2"/>
    <w:rsid w:val="00447FF8"/>
    <w:rsid w:val="00516ADC"/>
    <w:rsid w:val="00524B3B"/>
    <w:rsid w:val="00540438"/>
    <w:rsid w:val="00550014"/>
    <w:rsid w:val="00551EC8"/>
    <w:rsid w:val="00574501"/>
    <w:rsid w:val="005C4899"/>
    <w:rsid w:val="006073F2"/>
    <w:rsid w:val="00683E99"/>
    <w:rsid w:val="006B5A40"/>
    <w:rsid w:val="007038D4"/>
    <w:rsid w:val="00712CA8"/>
    <w:rsid w:val="007629F2"/>
    <w:rsid w:val="00765C82"/>
    <w:rsid w:val="007C28A2"/>
    <w:rsid w:val="007D71ED"/>
    <w:rsid w:val="008072EE"/>
    <w:rsid w:val="008155EA"/>
    <w:rsid w:val="0093239B"/>
    <w:rsid w:val="00945DC5"/>
    <w:rsid w:val="00957216"/>
    <w:rsid w:val="00A12930"/>
    <w:rsid w:val="00A1347F"/>
    <w:rsid w:val="00A207A6"/>
    <w:rsid w:val="00A468A7"/>
    <w:rsid w:val="00AA6899"/>
    <w:rsid w:val="00AB1B2B"/>
    <w:rsid w:val="00B47123"/>
    <w:rsid w:val="00C94A83"/>
    <w:rsid w:val="00CB657B"/>
    <w:rsid w:val="00CC29F1"/>
    <w:rsid w:val="00CE4254"/>
    <w:rsid w:val="00CF0488"/>
    <w:rsid w:val="00D2346B"/>
    <w:rsid w:val="00D25630"/>
    <w:rsid w:val="00D341B8"/>
    <w:rsid w:val="00D449AC"/>
    <w:rsid w:val="00DA3AAD"/>
    <w:rsid w:val="00DB6B24"/>
    <w:rsid w:val="00E12A4E"/>
    <w:rsid w:val="00E27738"/>
    <w:rsid w:val="00E33BC8"/>
    <w:rsid w:val="00EF6150"/>
    <w:rsid w:val="00F5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9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D6F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2419C"/>
    <w:pPr>
      <w:keepNext/>
      <w:spacing w:before="240" w:after="60"/>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2419C"/>
    <w:rPr>
      <w:rFonts w:ascii="Arial" w:eastAsia="Times New Roman" w:hAnsi="Arial" w:cs="Times New Roman"/>
      <w:b/>
      <w:i/>
      <w:szCs w:val="20"/>
    </w:rPr>
  </w:style>
  <w:style w:type="paragraph" w:styleId="Header">
    <w:name w:val="header"/>
    <w:basedOn w:val="Normal"/>
    <w:link w:val="HeaderChar"/>
    <w:uiPriority w:val="99"/>
    <w:rsid w:val="0032419C"/>
    <w:pPr>
      <w:tabs>
        <w:tab w:val="center" w:pos="5400"/>
        <w:tab w:val="right" w:pos="10800"/>
      </w:tabs>
    </w:pPr>
    <w:rPr>
      <w:rFonts w:ascii="Arial" w:hAnsi="Arial"/>
      <w:sz w:val="16"/>
    </w:rPr>
  </w:style>
  <w:style w:type="character" w:customStyle="1" w:styleId="HeaderChar">
    <w:name w:val="Header Char"/>
    <w:basedOn w:val="DefaultParagraphFont"/>
    <w:link w:val="Header"/>
    <w:uiPriority w:val="99"/>
    <w:rsid w:val="0032419C"/>
    <w:rPr>
      <w:rFonts w:ascii="Arial" w:eastAsia="Times New Roman" w:hAnsi="Arial" w:cs="Times New Roman"/>
      <w:sz w:val="16"/>
      <w:szCs w:val="20"/>
    </w:rPr>
  </w:style>
  <w:style w:type="paragraph" w:styleId="BodyText">
    <w:name w:val="Body Text"/>
    <w:basedOn w:val="Normal"/>
    <w:link w:val="BodyTextChar"/>
    <w:uiPriority w:val="99"/>
    <w:rsid w:val="0032419C"/>
    <w:rPr>
      <w:sz w:val="22"/>
    </w:rPr>
  </w:style>
  <w:style w:type="character" w:customStyle="1" w:styleId="BodyTextChar">
    <w:name w:val="Body Text Char"/>
    <w:basedOn w:val="DefaultParagraphFont"/>
    <w:link w:val="BodyText"/>
    <w:uiPriority w:val="99"/>
    <w:rsid w:val="0032419C"/>
    <w:rPr>
      <w:rFonts w:ascii="Times New Roman" w:eastAsia="Times New Roman" w:hAnsi="Times New Roman" w:cs="Times New Roman"/>
      <w:szCs w:val="20"/>
    </w:rPr>
  </w:style>
  <w:style w:type="paragraph" w:styleId="BodyText2">
    <w:name w:val="Body Text 2"/>
    <w:basedOn w:val="Normal"/>
    <w:link w:val="BodyText2Char"/>
    <w:uiPriority w:val="99"/>
    <w:rsid w:val="0032419C"/>
    <w:pPr>
      <w:jc w:val="both"/>
    </w:pPr>
  </w:style>
  <w:style w:type="character" w:customStyle="1" w:styleId="BodyText2Char">
    <w:name w:val="Body Text 2 Char"/>
    <w:basedOn w:val="DefaultParagraphFont"/>
    <w:link w:val="BodyText2"/>
    <w:uiPriority w:val="99"/>
    <w:rsid w:val="0032419C"/>
    <w:rPr>
      <w:rFonts w:ascii="Times New Roman" w:eastAsia="Times New Roman" w:hAnsi="Times New Roman" w:cs="Times New Roman"/>
      <w:sz w:val="20"/>
      <w:szCs w:val="20"/>
    </w:rPr>
  </w:style>
  <w:style w:type="character" w:styleId="Hyperlink">
    <w:name w:val="Hyperlink"/>
    <w:uiPriority w:val="99"/>
    <w:rsid w:val="0032419C"/>
    <w:rPr>
      <w:rFonts w:cs="Times New Roman"/>
      <w:color w:val="0000FF"/>
      <w:u w:val="single"/>
    </w:rPr>
  </w:style>
  <w:style w:type="paragraph" w:styleId="NoSpacing">
    <w:name w:val="No Spacing"/>
    <w:link w:val="NoSpacingChar"/>
    <w:uiPriority w:val="1"/>
    <w:qFormat/>
    <w:rsid w:val="00E27738"/>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E27738"/>
    <w:rPr>
      <w:rFonts w:ascii="Calibri" w:eastAsia="Calibri" w:hAnsi="Calibri" w:cs="Times New Roman"/>
    </w:rPr>
  </w:style>
  <w:style w:type="paragraph" w:styleId="FootnoteText">
    <w:name w:val="footnote text"/>
    <w:basedOn w:val="Normal"/>
    <w:link w:val="FootnoteTextChar"/>
    <w:rsid w:val="006073F2"/>
    <w:rPr>
      <w:rFonts w:ascii="Calibri" w:eastAsia="Calibri" w:hAnsi="Calibri"/>
    </w:rPr>
  </w:style>
  <w:style w:type="character" w:customStyle="1" w:styleId="FootnoteTextChar">
    <w:name w:val="Footnote Text Char"/>
    <w:basedOn w:val="DefaultParagraphFont"/>
    <w:link w:val="FootnoteText"/>
    <w:rsid w:val="006073F2"/>
    <w:rPr>
      <w:rFonts w:ascii="Calibri" w:eastAsia="Calibri" w:hAnsi="Calibri" w:cs="Times New Roman"/>
      <w:sz w:val="20"/>
      <w:szCs w:val="20"/>
    </w:rPr>
  </w:style>
  <w:style w:type="character" w:styleId="FootnoteReference">
    <w:name w:val="footnote reference"/>
    <w:basedOn w:val="DefaultParagraphFont"/>
    <w:uiPriority w:val="99"/>
    <w:rsid w:val="006073F2"/>
    <w:rPr>
      <w:rFonts w:cs="Times New Roman"/>
      <w:vertAlign w:val="superscript"/>
    </w:rPr>
  </w:style>
  <w:style w:type="character" w:customStyle="1" w:styleId="Heading1Char">
    <w:name w:val="Heading 1 Char"/>
    <w:basedOn w:val="DefaultParagraphFont"/>
    <w:link w:val="Heading1"/>
    <w:uiPriority w:val="9"/>
    <w:rsid w:val="002D6F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9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D6F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2419C"/>
    <w:pPr>
      <w:keepNext/>
      <w:spacing w:before="240" w:after="60"/>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2419C"/>
    <w:rPr>
      <w:rFonts w:ascii="Arial" w:eastAsia="Times New Roman" w:hAnsi="Arial" w:cs="Times New Roman"/>
      <w:b/>
      <w:i/>
      <w:szCs w:val="20"/>
    </w:rPr>
  </w:style>
  <w:style w:type="paragraph" w:styleId="Header">
    <w:name w:val="header"/>
    <w:basedOn w:val="Normal"/>
    <w:link w:val="HeaderChar"/>
    <w:uiPriority w:val="99"/>
    <w:rsid w:val="0032419C"/>
    <w:pPr>
      <w:tabs>
        <w:tab w:val="center" w:pos="5400"/>
        <w:tab w:val="right" w:pos="10800"/>
      </w:tabs>
    </w:pPr>
    <w:rPr>
      <w:rFonts w:ascii="Arial" w:hAnsi="Arial"/>
      <w:sz w:val="16"/>
    </w:rPr>
  </w:style>
  <w:style w:type="character" w:customStyle="1" w:styleId="HeaderChar">
    <w:name w:val="Header Char"/>
    <w:basedOn w:val="DefaultParagraphFont"/>
    <w:link w:val="Header"/>
    <w:uiPriority w:val="99"/>
    <w:rsid w:val="0032419C"/>
    <w:rPr>
      <w:rFonts w:ascii="Arial" w:eastAsia="Times New Roman" w:hAnsi="Arial" w:cs="Times New Roman"/>
      <w:sz w:val="16"/>
      <w:szCs w:val="20"/>
    </w:rPr>
  </w:style>
  <w:style w:type="paragraph" w:styleId="BodyText">
    <w:name w:val="Body Text"/>
    <w:basedOn w:val="Normal"/>
    <w:link w:val="BodyTextChar"/>
    <w:uiPriority w:val="99"/>
    <w:rsid w:val="0032419C"/>
    <w:rPr>
      <w:sz w:val="22"/>
    </w:rPr>
  </w:style>
  <w:style w:type="character" w:customStyle="1" w:styleId="BodyTextChar">
    <w:name w:val="Body Text Char"/>
    <w:basedOn w:val="DefaultParagraphFont"/>
    <w:link w:val="BodyText"/>
    <w:uiPriority w:val="99"/>
    <w:rsid w:val="0032419C"/>
    <w:rPr>
      <w:rFonts w:ascii="Times New Roman" w:eastAsia="Times New Roman" w:hAnsi="Times New Roman" w:cs="Times New Roman"/>
      <w:szCs w:val="20"/>
    </w:rPr>
  </w:style>
  <w:style w:type="paragraph" w:styleId="BodyText2">
    <w:name w:val="Body Text 2"/>
    <w:basedOn w:val="Normal"/>
    <w:link w:val="BodyText2Char"/>
    <w:uiPriority w:val="99"/>
    <w:rsid w:val="0032419C"/>
    <w:pPr>
      <w:jc w:val="both"/>
    </w:pPr>
  </w:style>
  <w:style w:type="character" w:customStyle="1" w:styleId="BodyText2Char">
    <w:name w:val="Body Text 2 Char"/>
    <w:basedOn w:val="DefaultParagraphFont"/>
    <w:link w:val="BodyText2"/>
    <w:uiPriority w:val="99"/>
    <w:rsid w:val="0032419C"/>
    <w:rPr>
      <w:rFonts w:ascii="Times New Roman" w:eastAsia="Times New Roman" w:hAnsi="Times New Roman" w:cs="Times New Roman"/>
      <w:sz w:val="20"/>
      <w:szCs w:val="20"/>
    </w:rPr>
  </w:style>
  <w:style w:type="character" w:styleId="Hyperlink">
    <w:name w:val="Hyperlink"/>
    <w:uiPriority w:val="99"/>
    <w:rsid w:val="0032419C"/>
    <w:rPr>
      <w:rFonts w:cs="Times New Roman"/>
      <w:color w:val="0000FF"/>
      <w:u w:val="single"/>
    </w:rPr>
  </w:style>
  <w:style w:type="paragraph" w:styleId="NoSpacing">
    <w:name w:val="No Spacing"/>
    <w:link w:val="NoSpacingChar"/>
    <w:uiPriority w:val="1"/>
    <w:qFormat/>
    <w:rsid w:val="00E27738"/>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E27738"/>
    <w:rPr>
      <w:rFonts w:ascii="Calibri" w:eastAsia="Calibri" w:hAnsi="Calibri" w:cs="Times New Roman"/>
    </w:rPr>
  </w:style>
  <w:style w:type="paragraph" w:styleId="FootnoteText">
    <w:name w:val="footnote text"/>
    <w:basedOn w:val="Normal"/>
    <w:link w:val="FootnoteTextChar"/>
    <w:rsid w:val="006073F2"/>
    <w:rPr>
      <w:rFonts w:ascii="Calibri" w:eastAsia="Calibri" w:hAnsi="Calibri"/>
    </w:rPr>
  </w:style>
  <w:style w:type="character" w:customStyle="1" w:styleId="FootnoteTextChar">
    <w:name w:val="Footnote Text Char"/>
    <w:basedOn w:val="DefaultParagraphFont"/>
    <w:link w:val="FootnoteText"/>
    <w:rsid w:val="006073F2"/>
    <w:rPr>
      <w:rFonts w:ascii="Calibri" w:eastAsia="Calibri" w:hAnsi="Calibri" w:cs="Times New Roman"/>
      <w:sz w:val="20"/>
      <w:szCs w:val="20"/>
    </w:rPr>
  </w:style>
  <w:style w:type="character" w:styleId="FootnoteReference">
    <w:name w:val="footnote reference"/>
    <w:basedOn w:val="DefaultParagraphFont"/>
    <w:uiPriority w:val="99"/>
    <w:rsid w:val="006073F2"/>
    <w:rPr>
      <w:rFonts w:cs="Times New Roman"/>
      <w:vertAlign w:val="superscript"/>
    </w:rPr>
  </w:style>
  <w:style w:type="character" w:customStyle="1" w:styleId="Heading1Char">
    <w:name w:val="Heading 1 Char"/>
    <w:basedOn w:val="DefaultParagraphFont"/>
    <w:link w:val="Heading1"/>
    <w:uiPriority w:val="9"/>
    <w:rsid w:val="002D6F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co_ali@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 Usman Ali</dc:creator>
  <cp:lastModifiedBy>Lawan Usman Ali</cp:lastModifiedBy>
  <cp:revision>64</cp:revision>
  <dcterms:created xsi:type="dcterms:W3CDTF">2011-05-13T19:54:00Z</dcterms:created>
  <dcterms:modified xsi:type="dcterms:W3CDTF">2011-08-25T13:37:00Z</dcterms:modified>
</cp:coreProperties>
</file>