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8C" w:rsidRPr="003B018C" w:rsidRDefault="003B018C" w:rsidP="003B018C">
      <w:pPr>
        <w:framePr w:w="10800" w:h="2142" w:hRule="exact" w:hSpace="187" w:wrap="auto" w:vAnchor="page" w:hAnchor="page" w:x="714" w:y="1085"/>
        <w:contextualSpacing/>
        <w:rPr>
          <w:b/>
          <w:bCs/>
          <w:i/>
          <w:iCs/>
          <w:sz w:val="28"/>
          <w:szCs w:val="28"/>
        </w:rPr>
      </w:pPr>
      <w:r w:rsidRPr="003B018C">
        <w:rPr>
          <w:b/>
          <w:bCs/>
          <w:i/>
          <w:iCs/>
          <w:sz w:val="28"/>
          <w:szCs w:val="28"/>
        </w:rPr>
        <w:t>AN ANALYSIS OF RISK AND RATE</w:t>
      </w:r>
      <w:r>
        <w:rPr>
          <w:b/>
          <w:bCs/>
          <w:i/>
          <w:iCs/>
          <w:sz w:val="28"/>
          <w:szCs w:val="28"/>
        </w:rPr>
        <w:t xml:space="preserve"> OF RETURN TO INTERNATIONAL OIL </w:t>
      </w:r>
      <w:r w:rsidRPr="003B018C">
        <w:rPr>
          <w:b/>
          <w:bCs/>
          <w:i/>
          <w:iCs/>
          <w:sz w:val="28"/>
          <w:szCs w:val="28"/>
        </w:rPr>
        <w:t xml:space="preserve">COMPANIES FROM IRAN'S BUY-BACK SERVICE CONTRACTS: </w:t>
      </w:r>
    </w:p>
    <w:p w:rsidR="003B018C" w:rsidRDefault="003B018C" w:rsidP="003B018C">
      <w:pPr>
        <w:pStyle w:val="BodyText"/>
        <w:framePr w:w="10800" w:h="2142" w:hRule="exact" w:hSpace="187" w:wrap="auto" w:vAnchor="page" w:hAnchor="page" w:x="714" w:y="1085"/>
        <w:spacing w:after="120"/>
        <w:rPr>
          <w:b/>
          <w:sz w:val="28"/>
          <w:szCs w:val="28"/>
        </w:rPr>
      </w:pPr>
      <w:r w:rsidRPr="003B018C">
        <w:rPr>
          <w:b/>
          <w:bCs/>
          <w:i/>
          <w:iCs/>
          <w:sz w:val="28"/>
          <w:szCs w:val="28"/>
        </w:rPr>
        <w:t>THE CASE OF SOROOSH AND NOWROOZ</w:t>
      </w:r>
    </w:p>
    <w:p w:rsidR="003B018C" w:rsidRDefault="003B018C" w:rsidP="003B018C">
      <w:pPr>
        <w:pStyle w:val="BodyText"/>
        <w:framePr w:w="10800" w:h="2142" w:hRule="exact" w:hSpace="187" w:wrap="auto" w:vAnchor="page" w:hAnchor="page" w:x="714" w:y="1085"/>
        <w:contextualSpacing/>
        <w:jc w:val="right"/>
        <w:rPr>
          <w:sz w:val="20"/>
        </w:rPr>
      </w:pPr>
      <w:proofErr w:type="gramStart"/>
      <w:r>
        <w:rPr>
          <w:sz w:val="20"/>
        </w:rPr>
        <w:t xml:space="preserve">Abbas Ghandi, </w:t>
      </w:r>
      <w:r w:rsidRPr="00226A47">
        <w:rPr>
          <w:sz w:val="20"/>
        </w:rPr>
        <w:t>Institute of Transportation Studies, University of California at Da</w:t>
      </w:r>
      <w:r>
        <w:rPr>
          <w:sz w:val="20"/>
        </w:rPr>
        <w:t xml:space="preserve">vis, One Shields Avenue, Davis, </w:t>
      </w:r>
      <w:r w:rsidRPr="00226A47">
        <w:rPr>
          <w:sz w:val="20"/>
        </w:rPr>
        <w:t>CA 95616, United States.</w:t>
      </w:r>
      <w:proofErr w:type="gramEnd"/>
      <w:r w:rsidRPr="00226A47">
        <w:rPr>
          <w:sz w:val="20"/>
        </w:rPr>
        <w:t xml:space="preserve"> Email: </w:t>
      </w:r>
      <w:r w:rsidRPr="003B018C">
        <w:rPr>
          <w:sz w:val="20"/>
        </w:rPr>
        <w:t>aghandi@ucdavis.edu</w:t>
      </w:r>
      <w:r w:rsidRPr="00226A47">
        <w:rPr>
          <w:sz w:val="20"/>
        </w:rPr>
        <w:t>. Phone: 1-530-8488059</w:t>
      </w:r>
      <w:r>
        <w:rPr>
          <w:sz w:val="20"/>
        </w:rPr>
        <w:t xml:space="preserve"> </w:t>
      </w:r>
    </w:p>
    <w:p w:rsidR="003201CE" w:rsidRPr="00D767DA" w:rsidRDefault="003B018C" w:rsidP="003B018C">
      <w:pPr>
        <w:pStyle w:val="BodyText"/>
        <w:framePr w:w="10800" w:h="2142" w:hRule="exact" w:hSpace="187" w:wrap="auto" w:vAnchor="page" w:hAnchor="page" w:x="714" w:y="1085"/>
        <w:jc w:val="right"/>
        <w:rPr>
          <w:i/>
        </w:rPr>
      </w:pPr>
      <w:r w:rsidRPr="00226A47">
        <w:rPr>
          <w:sz w:val="20"/>
        </w:rPr>
        <w:t>C.-Y. Cynthia Lin</w:t>
      </w:r>
      <w:r>
        <w:rPr>
          <w:sz w:val="20"/>
        </w:rPr>
        <w:t xml:space="preserve">, </w:t>
      </w:r>
      <w:r w:rsidRPr="00226A47">
        <w:rPr>
          <w:sz w:val="20"/>
        </w:rPr>
        <w:t>Agricultural and Resource Economics, University of Californi</w:t>
      </w:r>
      <w:r>
        <w:rPr>
          <w:sz w:val="20"/>
        </w:rPr>
        <w:t xml:space="preserve">a at Davis, One Shields Avenue, </w:t>
      </w:r>
      <w:r w:rsidRPr="00226A47">
        <w:rPr>
          <w:sz w:val="20"/>
        </w:rPr>
        <w:t>Davis, CA 95616, United States. Email: cclin@primal.ucdavis.edu</w:t>
      </w:r>
    </w:p>
    <w:p w:rsidR="00E76E69" w:rsidRDefault="00E76E69">
      <w:pPr>
        <w:pStyle w:val="copyright"/>
      </w:pPr>
    </w:p>
    <w:p w:rsidR="00E62244" w:rsidRPr="00476853" w:rsidRDefault="00101211" w:rsidP="00101211">
      <w:pPr>
        <w:pStyle w:val="Heading2"/>
        <w:ind w:left="-810" w:firstLine="810"/>
        <w:rPr>
          <w:i w:val="0"/>
          <w:sz w:val="24"/>
          <w:szCs w:val="24"/>
        </w:rPr>
      </w:pPr>
      <w:r w:rsidRPr="00476853">
        <w:rPr>
          <w:i w:val="0"/>
          <w:sz w:val="24"/>
          <w:szCs w:val="24"/>
        </w:rPr>
        <w:t>Overview</w:t>
      </w:r>
    </w:p>
    <w:p w:rsidR="004B55A1" w:rsidRDefault="00FB7C34" w:rsidP="00DC30DF">
      <w:r>
        <w:tab/>
      </w:r>
      <w:r w:rsidR="00DC30DF">
        <w:t>This paper assesses the risks and rate of return to International Oil Companies (IOC) in Iran's oil and natural gas buy-back service contracts. A buy-back service contract is the primary framework that the National Iranian Oil Company (NIOC) uses to engage IOCs in the development of Iran's oil and natural gas fields in order to benefit from the IOCs' expertise and investment. In these contracts, once the fields reach contractual full production level, the operation of the developed fields is transferred to the NIOC, and the IOC recovers its cost plus additional remuneration fees through an allocation of the developed fields' produced crude based on an agreed-upon targeted rate of return (ROR).</w:t>
      </w:r>
    </w:p>
    <w:p w:rsidR="00DC30DF" w:rsidRDefault="00DC30DF" w:rsidP="00DC30DF"/>
    <w:p w:rsidR="00FB7C34" w:rsidRDefault="00AD0733" w:rsidP="00DC30DF">
      <w:r>
        <w:tab/>
      </w:r>
      <w:r w:rsidR="00DC30DF">
        <w:t xml:space="preserve">A few studies that discuss Iran's buy-back service contracts could be categorized in three groups. The first group, which includes </w:t>
      </w:r>
      <w:r w:rsidR="00DC30DF">
        <w:rPr>
          <w:noProof/>
        </w:rPr>
        <w:t>Bindemann</w:t>
      </w:r>
      <w:r w:rsidR="00DC30DF">
        <w:t xml:space="preserve"> </w:t>
      </w:r>
      <w:sdt>
        <w:sdtPr>
          <w:id w:val="497187824"/>
          <w:citation/>
        </w:sdtPr>
        <w:sdtContent>
          <w:r w:rsidR="000D1981">
            <w:fldChar w:fldCharType="begin"/>
          </w:r>
          <w:r w:rsidR="00A31356">
            <w:instrText xml:space="preserve"> CITATION Bindemann1999 \n  \t  \l 1033  </w:instrText>
          </w:r>
          <w:r w:rsidR="000D1981">
            <w:fldChar w:fldCharType="separate"/>
          </w:r>
          <w:r w:rsidR="00DC30DF">
            <w:rPr>
              <w:noProof/>
            </w:rPr>
            <w:t>(1999)</w:t>
          </w:r>
          <w:r w:rsidR="000D1981">
            <w:rPr>
              <w:noProof/>
            </w:rPr>
            <w:fldChar w:fldCharType="end"/>
          </w:r>
        </w:sdtContent>
      </w:sdt>
      <w:r w:rsidR="00DC30DF">
        <w:t xml:space="preserve"> and </w:t>
      </w:r>
      <w:r w:rsidR="00DC30DF">
        <w:rPr>
          <w:noProof/>
        </w:rPr>
        <w:t>Marcel</w:t>
      </w:r>
      <w:r w:rsidR="00DC30DF">
        <w:t xml:space="preserve"> </w:t>
      </w:r>
      <w:sdt>
        <w:sdtPr>
          <w:id w:val="497187825"/>
          <w:citation/>
        </w:sdtPr>
        <w:sdtContent>
          <w:r w:rsidR="000D1981">
            <w:fldChar w:fldCharType="begin"/>
          </w:r>
          <w:r w:rsidR="00A31356">
            <w:instrText xml:space="preserve"> CITATION Marcel2006 \n  \t  \l 1033  </w:instrText>
          </w:r>
          <w:r w:rsidR="000D1981">
            <w:fldChar w:fldCharType="separate"/>
          </w:r>
          <w:r w:rsidR="00DC30DF">
            <w:rPr>
              <w:noProof/>
            </w:rPr>
            <w:t>(2006)</w:t>
          </w:r>
          <w:r w:rsidR="000D1981">
            <w:rPr>
              <w:noProof/>
            </w:rPr>
            <w:fldChar w:fldCharType="end"/>
          </w:r>
        </w:sdtContent>
      </w:sdt>
      <w:r w:rsidR="00DC30DF">
        <w:t xml:space="preserve">, provide basic definitions and some general characteristics of buy-back service contract. Both studies consider this contract with characteristics between a service and a production sharing contract. </w:t>
      </w:r>
      <w:proofErr w:type="gramStart"/>
      <w:r w:rsidR="00DC30DF">
        <w:t xml:space="preserve">The studies that fall under second type, which cover more aspects of a buy-back contract, include </w:t>
      </w:r>
      <w:r w:rsidR="00DC30DF">
        <w:rPr>
          <w:noProof/>
        </w:rPr>
        <w:t>Shiravi and Ebrahimi</w:t>
      </w:r>
      <w:r w:rsidR="00DC30DF">
        <w:t xml:space="preserve"> </w:t>
      </w:r>
      <w:sdt>
        <w:sdtPr>
          <w:id w:val="497187826"/>
          <w:citation/>
        </w:sdtPr>
        <w:sdtContent>
          <w:r w:rsidR="000D1981">
            <w:fldChar w:fldCharType="begin"/>
          </w:r>
          <w:r w:rsidR="00A31356">
            <w:instrText xml:space="preserve"> CITATION Shiravi2006 \n  \t  \l 1033  </w:instrText>
          </w:r>
          <w:r w:rsidR="000D1981">
            <w:fldChar w:fldCharType="separate"/>
          </w:r>
          <w:r w:rsidR="00DC30DF">
            <w:rPr>
              <w:noProof/>
            </w:rPr>
            <w:t>(2006)</w:t>
          </w:r>
          <w:r w:rsidR="000D1981">
            <w:rPr>
              <w:noProof/>
            </w:rPr>
            <w:fldChar w:fldCharType="end"/>
          </w:r>
        </w:sdtContent>
      </w:sdt>
      <w:r w:rsidR="00DC30DF">
        <w:t xml:space="preserve"> and </w:t>
      </w:r>
      <w:r w:rsidR="00DC30DF">
        <w:rPr>
          <w:noProof/>
        </w:rPr>
        <w:t>Van Groenendaal and Mazraati</w:t>
      </w:r>
      <w:r w:rsidR="00DC30DF">
        <w:t xml:space="preserve"> </w:t>
      </w:r>
      <w:sdt>
        <w:sdtPr>
          <w:id w:val="497187827"/>
          <w:citation/>
        </w:sdtPr>
        <w:sdtContent>
          <w:r w:rsidR="000D1981">
            <w:fldChar w:fldCharType="begin"/>
          </w:r>
          <w:r w:rsidR="00A31356">
            <w:instrText xml:space="preserve"> CITATION Groenendaal2006 \n  \t  \l 1033  </w:instrText>
          </w:r>
          <w:r w:rsidR="000D1981">
            <w:fldChar w:fldCharType="separate"/>
          </w:r>
          <w:r w:rsidR="00DC30DF">
            <w:rPr>
              <w:noProof/>
            </w:rPr>
            <w:t>(2006)</w:t>
          </w:r>
          <w:r w:rsidR="000D1981">
            <w:rPr>
              <w:noProof/>
            </w:rPr>
            <w:fldChar w:fldCharType="end"/>
          </w:r>
        </w:sdtContent>
      </w:sdt>
      <w:r w:rsidR="00DC30DF">
        <w:t>.</w:t>
      </w:r>
      <w:proofErr w:type="gramEnd"/>
      <w:r w:rsidR="00DC30DF">
        <w:t xml:space="preserve"> </w:t>
      </w:r>
      <w:r w:rsidR="00DC30DF">
        <w:rPr>
          <w:noProof/>
        </w:rPr>
        <w:t>Shiravi and Ebrahimi</w:t>
      </w:r>
      <w:r w:rsidR="00DC30DF">
        <w:t xml:space="preserve"> </w:t>
      </w:r>
      <w:sdt>
        <w:sdtPr>
          <w:id w:val="497187828"/>
          <w:citation/>
        </w:sdtPr>
        <w:sdtContent>
          <w:r w:rsidR="000D1981">
            <w:fldChar w:fldCharType="begin"/>
          </w:r>
          <w:r w:rsidR="00A31356">
            <w:instrText xml:space="preserve"> CITATION Shiravi2006 \n  \t  \l 1033  </w:instrText>
          </w:r>
          <w:r w:rsidR="000D1981">
            <w:fldChar w:fldCharType="separate"/>
          </w:r>
          <w:r w:rsidR="00DC30DF">
            <w:rPr>
              <w:noProof/>
            </w:rPr>
            <w:t>(2006)</w:t>
          </w:r>
          <w:r w:rsidR="000D1981">
            <w:rPr>
              <w:noProof/>
            </w:rPr>
            <w:fldChar w:fldCharType="end"/>
          </w:r>
        </w:sdtContent>
      </w:sdt>
      <w:r w:rsidR="00DC30DF">
        <w:t xml:space="preserve"> discuss the terms and a history with a brief overview of some possible risk factors for the IOCs in these contracts. </w:t>
      </w:r>
      <w:r w:rsidR="00DC30DF">
        <w:rPr>
          <w:noProof/>
        </w:rPr>
        <w:t>Van Groenendaal and Mazraati</w:t>
      </w:r>
      <w:r w:rsidR="00DC30DF">
        <w:t xml:space="preserve"> </w:t>
      </w:r>
      <w:sdt>
        <w:sdtPr>
          <w:id w:val="497187829"/>
          <w:citation/>
        </w:sdtPr>
        <w:sdtContent>
          <w:r w:rsidR="000D1981">
            <w:fldChar w:fldCharType="begin"/>
          </w:r>
          <w:r w:rsidR="00A31356">
            <w:instrText xml:space="preserve"> CITATION Groenendaal2006 \n  \t  \l 1033  </w:instrText>
          </w:r>
          <w:r w:rsidR="000D1981">
            <w:fldChar w:fldCharType="separate"/>
          </w:r>
          <w:r w:rsidR="00DC30DF">
            <w:rPr>
              <w:noProof/>
            </w:rPr>
            <w:t>(2006)</w:t>
          </w:r>
          <w:r w:rsidR="000D1981">
            <w:rPr>
              <w:noProof/>
            </w:rPr>
            <w:fldChar w:fldCharType="end"/>
          </w:r>
        </w:sdtContent>
      </w:sdt>
      <w:r w:rsidR="00DC30DF">
        <w:t xml:space="preserve"> further the discussion over risk factors by analyzing two of the risk factors effects on the IOC's rate of return. Based on their model of cash flow of a natural gas buy-back service contract, they show the potential of oil price fluctuations and delays in reducing the IOC's rate of return. However, they limit the scope of the study on just these two risk factors with a limited range of possibilities. </w:t>
      </w:r>
      <w:r w:rsidR="00DC30DF">
        <w:rPr>
          <w:noProof/>
        </w:rPr>
        <w:t>Ghandi and Lin’s</w:t>
      </w:r>
      <w:r w:rsidR="00DC30DF">
        <w:t xml:space="preserve"> </w:t>
      </w:r>
      <w:sdt>
        <w:sdtPr>
          <w:id w:val="497187830"/>
          <w:citation/>
        </w:sdtPr>
        <w:sdtContent>
          <w:r w:rsidR="000D1981">
            <w:fldChar w:fldCharType="begin"/>
          </w:r>
          <w:r w:rsidR="00A31356">
            <w:instrText xml:space="preserve"> CITATION Gha \n  \t  \l 1033  </w:instrText>
          </w:r>
          <w:r w:rsidR="000D1981">
            <w:fldChar w:fldCharType="separate"/>
          </w:r>
          <w:r w:rsidR="00DC30DF">
            <w:rPr>
              <w:noProof/>
            </w:rPr>
            <w:t>(2011)</w:t>
          </w:r>
          <w:r w:rsidR="000D1981">
            <w:rPr>
              <w:noProof/>
            </w:rPr>
            <w:fldChar w:fldCharType="end"/>
          </w:r>
        </w:sdtContent>
      </w:sdt>
      <w:r w:rsidR="00DC30DF">
        <w:t xml:space="preserve"> approach to studying Soroosh and Nowrooz buy-back service contract falls in a third distinct group of buy-back related studies. Based on dynamically optimal oil production models, they show that the National Iranian Oil Company has not reached contractual goals, nor has it achieved optimality in either profit maximization or cumulative production maximization.</w:t>
      </w:r>
      <w:r w:rsidR="00FB7C34">
        <w:t xml:space="preserve"> </w:t>
      </w:r>
    </w:p>
    <w:p w:rsidR="00E62244" w:rsidRPr="00D767DA" w:rsidRDefault="00476853">
      <w:pPr>
        <w:pStyle w:val="Heading2"/>
        <w:rPr>
          <w:i w:val="0"/>
          <w:sz w:val="24"/>
          <w:szCs w:val="24"/>
        </w:rPr>
      </w:pPr>
      <w:r w:rsidRPr="00D767DA">
        <w:rPr>
          <w:i w:val="0"/>
          <w:sz w:val="24"/>
          <w:szCs w:val="24"/>
        </w:rPr>
        <w:t>Methods</w:t>
      </w:r>
    </w:p>
    <w:p w:rsidR="00DC30DF" w:rsidRPr="00DC30DF" w:rsidRDefault="00AD0733" w:rsidP="00DC30DF">
      <w:pPr>
        <w:pStyle w:val="BodyText2"/>
        <w:spacing w:after="200"/>
        <w:ind w:firstLine="0"/>
        <w:jc w:val="left"/>
      </w:pPr>
      <w:r>
        <w:tab/>
      </w:r>
      <w:r w:rsidR="00DC30DF" w:rsidRPr="00DC30DF">
        <w:t xml:space="preserve">The unique nature of buy-back service contract, and the fact that the IOC does not share in the profit, raise the question of how much the inherent risk due to the nature of buy-back service contract could affect the IOC’s actual ROR.  To conduct such an analysis, , we model Shell Exploration's contractual and actual cash flow in its Soroosh and Nowrooz buy-back service contract as a case study. </w:t>
      </w:r>
      <w:r w:rsidR="00DC30DF" w:rsidRPr="00DC30DF">
        <w:rPr>
          <w:rFonts w:asciiTheme="majorBidi" w:hAnsiTheme="majorBidi" w:cstheme="majorBidi"/>
        </w:rPr>
        <w:t>Based on our models of cash flow, we also analyze the buy-back specific contributing risk factors that lead to reduction in the IOC’s rate of return. These risk factors include capital cost, percentages of capital cost spending, operating and maintenance cost, oil price fluctuations, delay in construction, deviations from the contractual production level, LIBOR rate reduction, and finally the remuneration not being realized.</w:t>
      </w:r>
      <w:r w:rsidR="00DC30DF" w:rsidRPr="00DC30DF">
        <w:rPr>
          <w:rStyle w:val="FootnoteReference"/>
          <w:rFonts w:asciiTheme="majorBidi" w:hAnsiTheme="majorBidi" w:cstheme="majorBidi"/>
        </w:rPr>
        <w:footnoteReference w:id="1"/>
      </w:r>
      <w:r w:rsidR="00DC30DF" w:rsidRPr="00DC30DF">
        <w:rPr>
          <w:rFonts w:asciiTheme="majorBidi" w:hAnsiTheme="majorBidi" w:cstheme="majorBidi"/>
        </w:rPr>
        <w:t xml:space="preserve">  As a further step, we also propose modifications to buy-back service contract based on our risk-sharing cash flow models in order for the IOC to face a lower degree of risk.</w:t>
      </w:r>
    </w:p>
    <w:p w:rsidR="000C25E0" w:rsidRPr="0055048B" w:rsidRDefault="000C25E0" w:rsidP="0055048B">
      <w:pPr>
        <w:pStyle w:val="Heading2"/>
        <w:rPr>
          <w:i w:val="0"/>
          <w:sz w:val="24"/>
          <w:szCs w:val="24"/>
        </w:rPr>
      </w:pPr>
      <w:r w:rsidRPr="00D767DA">
        <w:rPr>
          <w:i w:val="0"/>
          <w:sz w:val="24"/>
          <w:szCs w:val="24"/>
        </w:rPr>
        <w:t>Results</w:t>
      </w:r>
      <w:r w:rsidR="004B55A1">
        <w:rPr>
          <w:i w:val="0"/>
          <w:sz w:val="24"/>
          <w:szCs w:val="24"/>
        </w:rPr>
        <w:t xml:space="preserve"> and Conclusion</w:t>
      </w:r>
    </w:p>
    <w:p w:rsidR="00DC30DF" w:rsidRDefault="00AD0733" w:rsidP="003F3CFF">
      <w:r>
        <w:tab/>
      </w:r>
      <w:r w:rsidR="008643AC">
        <w:t>Our contractual cash flow model</w:t>
      </w:r>
      <w:r w:rsidR="00DC30DF" w:rsidRPr="00DC30DF">
        <w:t xml:space="preserve"> of Soroosh and Nowrooz </w:t>
      </w:r>
      <w:r w:rsidR="008643AC">
        <w:t>buy-back service contract suggests</w:t>
      </w:r>
      <w:r w:rsidR="00DC30DF" w:rsidRPr="00DC30DF">
        <w:t xml:space="preserve"> that </w:t>
      </w:r>
      <w:r w:rsidR="00DC30DF" w:rsidRPr="005C6E14">
        <w:t xml:space="preserve">Shell signed the contract with </w:t>
      </w:r>
      <w:r w:rsidR="009F3F6B" w:rsidRPr="005C6E14">
        <w:t xml:space="preserve">a </w:t>
      </w:r>
      <w:r w:rsidR="00DC30DF" w:rsidRPr="005C6E14">
        <w:t xml:space="preserve">14.44% rate of return. However, our actual cash flow model reveals that Shell has ended up with </w:t>
      </w:r>
      <w:r w:rsidR="009F3F6B" w:rsidRPr="005C6E14">
        <w:t xml:space="preserve">an </w:t>
      </w:r>
      <w:r w:rsidR="00DC30DF" w:rsidRPr="005C6E14">
        <w:t>actual rate of return</w:t>
      </w:r>
      <w:r w:rsidR="009F3F6B" w:rsidRPr="005C6E14">
        <w:t xml:space="preserve"> o</w:t>
      </w:r>
      <w:r w:rsidR="003F3CFF" w:rsidRPr="005C6E14">
        <w:t>f</w:t>
      </w:r>
      <w:r w:rsidR="009F3F6B" w:rsidRPr="005C6E14">
        <w:t xml:space="preserve"> 0.53%</w:t>
      </w:r>
      <w:r w:rsidR="00DC30DF" w:rsidRPr="005C6E14">
        <w:t>, which is significantly lower than the contractual rate of return.</w:t>
      </w:r>
      <w:r w:rsidR="00DC30DF" w:rsidRPr="00DC30DF">
        <w:t xml:space="preserve"> This finding clearly suggests that the IOC in a buy-back service contract may face very high degrees of risk. </w:t>
      </w:r>
    </w:p>
    <w:p w:rsidR="00DC30DF" w:rsidRPr="00DC30DF" w:rsidRDefault="00DC30DF" w:rsidP="00DC30DF"/>
    <w:p w:rsidR="00DC30DF" w:rsidRPr="005C6E14" w:rsidRDefault="00DC30DF" w:rsidP="00DC30DF">
      <w:r>
        <w:tab/>
      </w:r>
      <w:r w:rsidRPr="00DC30DF">
        <w:t xml:space="preserve">In order to analyze the risk factors in buy-back service contracts, and in order to capture every possibility in these contracts, we define various scenarios that include entire range of possible values for the parameters. In general, we find that all the risk factors are capable in reducing the IOC’s rate of return, and therefore, we indeed recognize them as risk factors </w:t>
      </w:r>
      <w:r w:rsidRPr="005C6E14">
        <w:t xml:space="preserve">with different potential of effects on the rate of return. In addition to reducing effects, we also study the parameters' effects in increasing the ROR </w:t>
      </w:r>
      <w:r w:rsidRPr="005C6E14">
        <w:lastRenderedPageBreak/>
        <w:t>even though in the buy-back service contract, the IOC does not benefit from increasing the ROR. We do that in order to s</w:t>
      </w:r>
      <w:r w:rsidR="008643AC" w:rsidRPr="005C6E14">
        <w:t>how the potential of parameters'</w:t>
      </w:r>
      <w:r w:rsidRPr="005C6E14">
        <w:t xml:space="preserve"> effects in increasing the ROR and to support our risk-sharing cash flow modification proposal. </w:t>
      </w:r>
    </w:p>
    <w:p w:rsidR="008643AC" w:rsidRPr="005C6E14" w:rsidRDefault="008643AC" w:rsidP="00DC30DF"/>
    <w:p w:rsidR="00DC30DF" w:rsidRPr="005C6E14" w:rsidRDefault="008643AC" w:rsidP="008643AC">
      <w:r w:rsidRPr="005C6E14">
        <w:tab/>
      </w:r>
      <w:r w:rsidR="00DC30DF" w:rsidRPr="005C6E14">
        <w:t xml:space="preserve">As mentioned, the risk factors include </w:t>
      </w:r>
      <w:r w:rsidR="00DC30DF" w:rsidRPr="005C6E14">
        <w:rPr>
          <w:rFonts w:asciiTheme="majorBidi" w:hAnsiTheme="majorBidi" w:cstheme="majorBidi"/>
        </w:rPr>
        <w:t>capital cost, percentages of capital cost spending, operating and maintenance cost, oil price fluctuations, delay in construction, deviations from the contractual production level, LIBOR rate reduction, and finally the remuneration not being realized</w:t>
      </w:r>
      <w:r w:rsidR="00DC30DF" w:rsidRPr="005C6E14">
        <w:t xml:space="preserve">. For the capital cost, we study scenarios with 20 and 50% increases and decreases in the capital cost level. </w:t>
      </w:r>
      <w:r w:rsidRPr="005C6E14">
        <w:t>We find that capital cost overrun has large effects on the IOC's rate of return. Therefore, we conclude that capital cost overrun is probably the most important risk factor in buy-back service contract.</w:t>
      </w:r>
    </w:p>
    <w:p w:rsidR="00DC30DF" w:rsidRPr="005C6E14" w:rsidRDefault="00DC30DF" w:rsidP="00DC30DF"/>
    <w:p w:rsidR="00DC30DF" w:rsidRPr="005C6E14" w:rsidRDefault="00DC30DF" w:rsidP="00DC30DF">
      <w:r w:rsidRPr="005C6E14">
        <w:tab/>
      </w:r>
      <w:r w:rsidR="000D1981" w:rsidRPr="005C6E14">
        <w:t>W</w:t>
      </w:r>
      <w:r w:rsidRPr="005C6E14">
        <w:t xml:space="preserve">hile in reality, the engineering of the fields is </w:t>
      </w:r>
      <w:r w:rsidR="000D1981" w:rsidRPr="005C6E14">
        <w:t>usually</w:t>
      </w:r>
      <w:r w:rsidR="009F3F6B" w:rsidRPr="005C6E14">
        <w:t xml:space="preserve"> </w:t>
      </w:r>
      <w:r w:rsidRPr="005C6E14">
        <w:t>the one aspect that determines the capital cost spending in each year</w:t>
      </w:r>
      <w:r w:rsidR="00B23F47" w:rsidRPr="005C6E14">
        <w:t>,</w:t>
      </w:r>
      <w:r w:rsidR="00B24161">
        <w:t xml:space="preserve"> </w:t>
      </w:r>
      <w:r w:rsidRPr="005C6E14">
        <w:t xml:space="preserve">we compare </w:t>
      </w:r>
      <w:r w:rsidR="00511A27" w:rsidRPr="005C6E14">
        <w:t>several</w:t>
      </w:r>
      <w:bookmarkStart w:id="0" w:name="_GoBack"/>
      <w:bookmarkEnd w:id="0"/>
      <w:r w:rsidR="00511A27" w:rsidRPr="005C6E14">
        <w:t xml:space="preserve"> </w:t>
      </w:r>
      <w:r w:rsidRPr="005C6E14">
        <w:t xml:space="preserve">possible option plans and their effects on the rate of return.  We find that the changes in the capital cost percentages could affect the IOC's rate of return. Therefore, capital cost percentage is a risk factor. However, we also find that IOC will benefit </w:t>
      </w:r>
      <w:r w:rsidR="009F3F6B" w:rsidRPr="005C6E14">
        <w:t xml:space="preserve">with a </w:t>
      </w:r>
      <w:r w:rsidRPr="005C6E14">
        <w:t>higher ROR by spreading the capital cost from the initial years of the contract or by postponing the spending towards the later years of development.</w:t>
      </w:r>
    </w:p>
    <w:p w:rsidR="00DC30DF" w:rsidRPr="005C6E14" w:rsidRDefault="00DC30DF" w:rsidP="00DC30DF"/>
    <w:p w:rsidR="00DC30DF" w:rsidRPr="005C6E14" w:rsidRDefault="00DC30DF" w:rsidP="00DC30DF">
      <w:r w:rsidRPr="005C6E14">
        <w:tab/>
        <w:t xml:space="preserve">We also investigate the effects of operating and maintenance cost on the </w:t>
      </w:r>
      <w:r w:rsidR="008643AC" w:rsidRPr="005C6E14">
        <w:t xml:space="preserve">IOC's </w:t>
      </w:r>
      <w:r w:rsidRPr="005C6E14">
        <w:t xml:space="preserve">ROR in two groups of scenarios: fixed and fluctuating cost. We find that higher operating and maintenance cost will decrease the IOC's rate of return. However, the rate of return of our fluctuating operating and maintenance cost scenarios, including contractual, optimal and actual plans, are close to each other. As a result, we could consider operating and maintenance cost as a source of risk due only to the possibility of wrong contractual cost estimates in the contractual cash flow and not due to the cost fluctuations. </w:t>
      </w:r>
    </w:p>
    <w:p w:rsidR="00DC30DF" w:rsidRPr="005C6E14" w:rsidRDefault="00DC30DF" w:rsidP="00DC30DF">
      <w:r w:rsidRPr="005C6E14">
        <w:t xml:space="preserve"> </w:t>
      </w:r>
    </w:p>
    <w:p w:rsidR="00DC30DF" w:rsidRPr="005C6E14" w:rsidRDefault="00DC30DF" w:rsidP="00DC30DF">
      <w:r w:rsidRPr="005C6E14">
        <w:tab/>
        <w:t>For the other parameters including the oil price, production and LIBOR, we study their small changes' effects on the rate of return as well as the timing effects of those changes. We find that the changes in the parameter are capable of reducing IOC's ROR. However, the timing of the changes is important. In particular, we find</w:t>
      </w:r>
      <w:r w:rsidR="009F3F6B" w:rsidRPr="005C6E14">
        <w:t xml:space="preserve"> that</w:t>
      </w:r>
      <w:r w:rsidRPr="005C6E14">
        <w:t xml:space="preserve"> the start of the repayment year </w:t>
      </w:r>
      <w:r w:rsidR="009F3F6B" w:rsidRPr="005C6E14">
        <w:t>i</w:t>
      </w:r>
      <w:r w:rsidRPr="005C6E14">
        <w:t>s the most important year of the amortization period. This suggests that even though we consider these three parameters as risk factors, their effects on the rate of return are contingent upon the timing of the changes i</w:t>
      </w:r>
      <w:r w:rsidR="008D3CA5" w:rsidRPr="005C6E14">
        <w:t xml:space="preserve">n the value </w:t>
      </w:r>
      <w:r w:rsidRPr="005C6E14">
        <w:t xml:space="preserve">compared to the contractual values. </w:t>
      </w:r>
    </w:p>
    <w:p w:rsidR="00DC30DF" w:rsidRPr="005C6E14" w:rsidRDefault="00DC30DF" w:rsidP="00DC30DF"/>
    <w:p w:rsidR="00F73B4C" w:rsidRPr="005C6E14" w:rsidRDefault="00DC30DF" w:rsidP="008D3CA5">
      <w:r w:rsidRPr="005C6E14">
        <w:tab/>
        <w:t>Shell's low actual ROR implies a potential threat to the IOC’s presence in Iran's oil and natural gas industry through buy-back service contract framework. However, in this study, our model of risk-sharing cash flow, suggests that there is a potential for modifying the contracts to better share the risk, while still remaining in the framework of buy-back service contract. In particular, we show that when a buy-back service contract faces cost overrun or delay,</w:t>
      </w:r>
      <w:r w:rsidR="008D3CA5" w:rsidRPr="005C6E14">
        <w:t xml:space="preserve"> the NIOC could reduce the risk for the IOC by letting the remuneration to increase proportionally with the capital increase </w:t>
      </w:r>
      <w:r w:rsidR="009F3F6B" w:rsidRPr="005C6E14">
        <w:t xml:space="preserve">and by </w:t>
      </w:r>
      <w:r w:rsidR="008D3CA5" w:rsidRPr="005C6E14">
        <w:t>bearing the interest of the delay period and covering the additional cost</w:t>
      </w:r>
      <w:r w:rsidRPr="005C6E14">
        <w:t>. By modifying the contracts to share the risk, the IOC could face an actual ROR closer to the contractual ROR even if the contract faces cost overrun or delay, and yet still keep the actual ROR from exceeding the maximum contractual ROR the NIOC is willing to give. If th</w:t>
      </w:r>
      <w:r w:rsidR="008D3CA5" w:rsidRPr="005C6E14">
        <w:t>e NIOC</w:t>
      </w:r>
      <w:r w:rsidRPr="005C6E14">
        <w:t xml:space="preserve"> wants to continue using the buy-back framework, such modification is vital in order to avoid deterrence of the IOCs from large investments in Iran's oil and natural gas industry.</w:t>
      </w:r>
    </w:p>
    <w:p w:rsidR="0055048B" w:rsidRPr="00DC30DF" w:rsidRDefault="00E62244" w:rsidP="00DC30DF">
      <w:pPr>
        <w:pStyle w:val="Heading2"/>
        <w:rPr>
          <w:i w:val="0"/>
          <w:sz w:val="24"/>
          <w:szCs w:val="24"/>
        </w:rPr>
      </w:pPr>
      <w:r w:rsidRPr="00D767DA">
        <w:rPr>
          <w:i w:val="0"/>
          <w:sz w:val="24"/>
          <w:szCs w:val="24"/>
        </w:rPr>
        <w:t>References</w:t>
      </w:r>
      <w:r w:rsidR="000D1981" w:rsidRPr="000D1981">
        <w:fldChar w:fldCharType="begin"/>
      </w:r>
      <w:r w:rsidR="0055048B">
        <w:rPr>
          <w:lang w:val="en-US"/>
        </w:rPr>
        <w:instrText xml:space="preserve"> BIBLIOGRAPHY  \l 1033 </w:instrText>
      </w:r>
      <w:r w:rsidR="000D1981" w:rsidRPr="000D1981">
        <w:fldChar w:fldCharType="separate"/>
      </w:r>
    </w:p>
    <w:p w:rsidR="0055048B" w:rsidRDefault="0055048B" w:rsidP="0055048B">
      <w:pPr>
        <w:pStyle w:val="Bibliography"/>
        <w:rPr>
          <w:noProof/>
        </w:rPr>
      </w:pPr>
      <w:r>
        <w:rPr>
          <w:noProof/>
        </w:rPr>
        <w:t xml:space="preserve">Bindemann, K. (1999). </w:t>
      </w:r>
      <w:r>
        <w:rPr>
          <w:i/>
          <w:iCs/>
          <w:noProof/>
        </w:rPr>
        <w:t>Production Sharing Agreements: An Economic Analysis.</w:t>
      </w:r>
      <w:r>
        <w:rPr>
          <w:noProof/>
        </w:rPr>
        <w:t xml:space="preserve"> Oxford Institute for Energy Studies. Oxford Institute for Energy Studies.</w:t>
      </w:r>
    </w:p>
    <w:p w:rsidR="0055048B" w:rsidRPr="0055048B" w:rsidRDefault="0055048B" w:rsidP="0055048B"/>
    <w:p w:rsidR="0055048B" w:rsidRDefault="0055048B" w:rsidP="0055048B">
      <w:pPr>
        <w:pStyle w:val="Bibliography"/>
        <w:rPr>
          <w:noProof/>
        </w:rPr>
      </w:pPr>
      <w:r w:rsidRPr="00B9654B">
        <w:rPr>
          <w:noProof/>
          <w:lang w:val="fr-FR"/>
        </w:rPr>
        <w:t>Ghandi, A., &amp; Lin, C.-Y.</w:t>
      </w:r>
      <w:r w:rsidR="00572659" w:rsidRPr="00B9654B">
        <w:rPr>
          <w:noProof/>
          <w:lang w:val="fr-FR"/>
        </w:rPr>
        <w:t>C.</w:t>
      </w:r>
      <w:r w:rsidRPr="00B9654B">
        <w:rPr>
          <w:noProof/>
          <w:lang w:val="fr-FR"/>
        </w:rPr>
        <w:t xml:space="preserve"> (2011). </w:t>
      </w:r>
      <w:r>
        <w:rPr>
          <w:noProof/>
        </w:rPr>
        <w:t xml:space="preserve">Do Iran’s Buy-Back Service Contracts Lead to Optimal Production? The Case of Soroosh and Nowrooz. </w:t>
      </w:r>
      <w:r>
        <w:rPr>
          <w:i/>
          <w:iCs/>
          <w:noProof/>
        </w:rPr>
        <w:t>Working Paper. University of California Davis</w:t>
      </w:r>
      <w:r>
        <w:rPr>
          <w:noProof/>
        </w:rPr>
        <w:t xml:space="preserve"> .</w:t>
      </w:r>
    </w:p>
    <w:p w:rsidR="0055048B" w:rsidRPr="0055048B" w:rsidRDefault="0055048B" w:rsidP="0055048B"/>
    <w:p w:rsidR="0055048B" w:rsidRDefault="0055048B" w:rsidP="0055048B">
      <w:pPr>
        <w:pStyle w:val="Bibliography"/>
        <w:spacing w:after="240"/>
        <w:rPr>
          <w:noProof/>
        </w:rPr>
      </w:pPr>
      <w:r>
        <w:rPr>
          <w:noProof/>
        </w:rPr>
        <w:t xml:space="preserve">Marcel, V. (2006). </w:t>
      </w:r>
      <w:r>
        <w:rPr>
          <w:i/>
          <w:iCs/>
          <w:noProof/>
        </w:rPr>
        <w:t>Oil Titans National Oil Companies in the Middle East.</w:t>
      </w:r>
      <w:r>
        <w:rPr>
          <w:noProof/>
        </w:rPr>
        <w:t xml:space="preserve"> Brookings Institution Press.</w:t>
      </w:r>
    </w:p>
    <w:p w:rsidR="0055048B" w:rsidRDefault="0055048B" w:rsidP="0055048B">
      <w:pPr>
        <w:pStyle w:val="Bibliography"/>
        <w:rPr>
          <w:noProof/>
        </w:rPr>
      </w:pPr>
      <w:r>
        <w:rPr>
          <w:noProof/>
        </w:rPr>
        <w:t xml:space="preserve">Shiravi, A., &amp; Ebrahimi, S.N. (2006). Exploration and development of Iran's oilfields through buyback. </w:t>
      </w:r>
      <w:r>
        <w:rPr>
          <w:i/>
          <w:iCs/>
          <w:noProof/>
        </w:rPr>
        <w:t>Natural Resources Forum</w:t>
      </w:r>
      <w:r>
        <w:rPr>
          <w:noProof/>
        </w:rPr>
        <w:t xml:space="preserve"> </w:t>
      </w:r>
      <w:r>
        <w:rPr>
          <w:i/>
          <w:iCs/>
          <w:noProof/>
        </w:rPr>
        <w:t>, 30</w:t>
      </w:r>
      <w:r>
        <w:rPr>
          <w:noProof/>
        </w:rPr>
        <w:t xml:space="preserve"> (3), 199-206.</w:t>
      </w:r>
    </w:p>
    <w:p w:rsidR="0055048B" w:rsidRPr="0055048B" w:rsidRDefault="0055048B" w:rsidP="0055048B"/>
    <w:p w:rsidR="0055048B" w:rsidRDefault="0055048B" w:rsidP="0055048B">
      <w:pPr>
        <w:pStyle w:val="Bibliography"/>
        <w:rPr>
          <w:noProof/>
        </w:rPr>
      </w:pPr>
      <w:r>
        <w:rPr>
          <w:noProof/>
        </w:rPr>
        <w:t xml:space="preserve">Van Groenendaal, W.J.H., &amp; Mazraati, M. (2006). A critical review of Iran's buyback contracts. </w:t>
      </w:r>
      <w:r>
        <w:rPr>
          <w:i/>
          <w:iCs/>
          <w:noProof/>
        </w:rPr>
        <w:t>Energy Policy</w:t>
      </w:r>
      <w:r>
        <w:rPr>
          <w:noProof/>
        </w:rPr>
        <w:t xml:space="preserve"> </w:t>
      </w:r>
      <w:r>
        <w:rPr>
          <w:i/>
          <w:iCs/>
          <w:noProof/>
        </w:rPr>
        <w:t>, Volume 34, Issue 18</w:t>
      </w:r>
      <w:r>
        <w:rPr>
          <w:noProof/>
        </w:rPr>
        <w:t>, 3709-3718.</w:t>
      </w:r>
    </w:p>
    <w:p w:rsidR="00A247C7" w:rsidRDefault="000D1981" w:rsidP="0055048B">
      <w:pPr>
        <w:pStyle w:val="BodyText2"/>
        <w:spacing w:after="200"/>
      </w:pPr>
      <w:r>
        <w:fldChar w:fldCharType="end"/>
      </w:r>
    </w:p>
    <w:p w:rsidR="00A247C7" w:rsidRPr="000C25E0" w:rsidRDefault="00A247C7" w:rsidP="003201CE">
      <w:pPr>
        <w:pStyle w:val="BodyText2"/>
        <w:spacing w:after="200"/>
      </w:pPr>
    </w:p>
    <w:sectPr w:rsidR="00A247C7" w:rsidRPr="000C25E0" w:rsidSect="00E76E69">
      <w:headerReference w:type="default" r:id="rId8"/>
      <w:headerReference w:type="first" r:id="rId9"/>
      <w:type w:val="continuous"/>
      <w:pgSz w:w="12240" w:h="15840"/>
      <w:pgMar w:top="1206" w:right="99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B7" w:rsidRDefault="008B7FB7">
      <w:r>
        <w:separator/>
      </w:r>
    </w:p>
  </w:endnote>
  <w:endnote w:type="continuationSeparator" w:id="0">
    <w:p w:rsidR="008B7FB7" w:rsidRDefault="008B7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B7" w:rsidRDefault="008B7FB7">
      <w:r>
        <w:separator/>
      </w:r>
    </w:p>
  </w:footnote>
  <w:footnote w:type="continuationSeparator" w:id="0">
    <w:p w:rsidR="008B7FB7" w:rsidRDefault="008B7FB7">
      <w:r>
        <w:continuationSeparator/>
      </w:r>
    </w:p>
  </w:footnote>
  <w:footnote w:id="1">
    <w:p w:rsidR="00DC30DF" w:rsidRDefault="00DC30DF" w:rsidP="00DC30DF">
      <w:pPr>
        <w:pStyle w:val="FootnoteText"/>
      </w:pPr>
      <w:r>
        <w:rPr>
          <w:rStyle w:val="FootnoteReference"/>
        </w:rPr>
        <w:footnoteRef/>
      </w:r>
      <w:r>
        <w:t xml:space="preserve"> </w:t>
      </w:r>
      <w:r w:rsidRPr="0060511E">
        <w:t>We do not consider other risks including geology, geopolitical, sanctions, domestic economical and political instability and inflation/recession related effects.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60" w:rsidRDefault="000D1981">
    <w:pPr>
      <w:pStyle w:val="Header"/>
      <w:pBdr>
        <w:bottom w:val="single" w:sz="6" w:space="6" w:color="auto"/>
      </w:pBdr>
      <w:spacing w:after="120"/>
    </w:pPr>
    <w:r>
      <w:fldChar w:fldCharType="begin"/>
    </w:r>
    <w:r w:rsidR="001C03E9">
      <w:instrText xml:space="preserve">page </w:instrText>
    </w:r>
    <w:r>
      <w:fldChar w:fldCharType="separate"/>
    </w:r>
    <w:r w:rsidR="00DC30DF">
      <w:rPr>
        <w:noProof/>
      </w:rPr>
      <w:t>3</w:t>
    </w:r>
    <w:r>
      <w:rPr>
        <w:noProof/>
      </w:rPr>
      <w:fldChar w:fldCharType="end"/>
    </w:r>
    <w:r w:rsidR="00810F60">
      <w:rPr>
        <w:caps/>
      </w:rPr>
      <w:t xml:space="preserve">                                   </w:t>
    </w:r>
    <w:r w:rsidR="00810F60">
      <w:t>Intelligent Well Technology: Status and Opportunities for Developing Marginal Reserves       SPE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60" w:rsidRDefault="00810F60" w:rsidP="00D767DA">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F3C0ABD0">
      <w:start w:val="1"/>
      <w:numFmt w:val="bullet"/>
      <w:lvlText w:val=""/>
      <w:lvlJc w:val="left"/>
      <w:pPr>
        <w:tabs>
          <w:tab w:val="num" w:pos="720"/>
        </w:tabs>
        <w:ind w:left="720" w:hanging="360"/>
      </w:pPr>
      <w:rPr>
        <w:rFonts w:ascii="Symbol" w:hAnsi="Symbol" w:hint="default"/>
      </w:rPr>
    </w:lvl>
    <w:lvl w:ilvl="1" w:tplc="B5C4B02C">
      <w:start w:val="1"/>
      <w:numFmt w:val="bullet"/>
      <w:lvlText w:val="o"/>
      <w:lvlJc w:val="left"/>
      <w:pPr>
        <w:tabs>
          <w:tab w:val="num" w:pos="1440"/>
        </w:tabs>
        <w:ind w:left="1440" w:hanging="360"/>
      </w:pPr>
      <w:rPr>
        <w:rFonts w:ascii="Courier New" w:hAnsi="Courier New" w:hint="default"/>
      </w:rPr>
    </w:lvl>
    <w:lvl w:ilvl="2" w:tplc="0AE2D3D2" w:tentative="1">
      <w:start w:val="1"/>
      <w:numFmt w:val="bullet"/>
      <w:lvlText w:val=""/>
      <w:lvlJc w:val="left"/>
      <w:pPr>
        <w:tabs>
          <w:tab w:val="num" w:pos="2160"/>
        </w:tabs>
        <w:ind w:left="2160" w:hanging="360"/>
      </w:pPr>
      <w:rPr>
        <w:rFonts w:ascii="Wingdings" w:hAnsi="Wingdings" w:hint="default"/>
      </w:rPr>
    </w:lvl>
    <w:lvl w:ilvl="3" w:tplc="AE94D21E" w:tentative="1">
      <w:start w:val="1"/>
      <w:numFmt w:val="bullet"/>
      <w:lvlText w:val=""/>
      <w:lvlJc w:val="left"/>
      <w:pPr>
        <w:tabs>
          <w:tab w:val="num" w:pos="2880"/>
        </w:tabs>
        <w:ind w:left="2880" w:hanging="360"/>
      </w:pPr>
      <w:rPr>
        <w:rFonts w:ascii="Symbol" w:hAnsi="Symbol" w:hint="default"/>
      </w:rPr>
    </w:lvl>
    <w:lvl w:ilvl="4" w:tplc="42E25E54" w:tentative="1">
      <w:start w:val="1"/>
      <w:numFmt w:val="bullet"/>
      <w:lvlText w:val="o"/>
      <w:lvlJc w:val="left"/>
      <w:pPr>
        <w:tabs>
          <w:tab w:val="num" w:pos="3600"/>
        </w:tabs>
        <w:ind w:left="3600" w:hanging="360"/>
      </w:pPr>
      <w:rPr>
        <w:rFonts w:ascii="Courier New" w:hAnsi="Courier New" w:hint="default"/>
      </w:rPr>
    </w:lvl>
    <w:lvl w:ilvl="5" w:tplc="36AAA602" w:tentative="1">
      <w:start w:val="1"/>
      <w:numFmt w:val="bullet"/>
      <w:lvlText w:val=""/>
      <w:lvlJc w:val="left"/>
      <w:pPr>
        <w:tabs>
          <w:tab w:val="num" w:pos="4320"/>
        </w:tabs>
        <w:ind w:left="4320" w:hanging="360"/>
      </w:pPr>
      <w:rPr>
        <w:rFonts w:ascii="Wingdings" w:hAnsi="Wingdings" w:hint="default"/>
      </w:rPr>
    </w:lvl>
    <w:lvl w:ilvl="6" w:tplc="2DB4C184" w:tentative="1">
      <w:start w:val="1"/>
      <w:numFmt w:val="bullet"/>
      <w:lvlText w:val=""/>
      <w:lvlJc w:val="left"/>
      <w:pPr>
        <w:tabs>
          <w:tab w:val="num" w:pos="5040"/>
        </w:tabs>
        <w:ind w:left="5040" w:hanging="360"/>
      </w:pPr>
      <w:rPr>
        <w:rFonts w:ascii="Symbol" w:hAnsi="Symbol" w:hint="default"/>
      </w:rPr>
    </w:lvl>
    <w:lvl w:ilvl="7" w:tplc="8A1CF97C" w:tentative="1">
      <w:start w:val="1"/>
      <w:numFmt w:val="bullet"/>
      <w:lvlText w:val="o"/>
      <w:lvlJc w:val="left"/>
      <w:pPr>
        <w:tabs>
          <w:tab w:val="num" w:pos="5760"/>
        </w:tabs>
        <w:ind w:left="5760" w:hanging="360"/>
      </w:pPr>
      <w:rPr>
        <w:rFonts w:ascii="Courier New" w:hAnsi="Courier New" w:hint="default"/>
      </w:rPr>
    </w:lvl>
    <w:lvl w:ilvl="8" w:tplc="B9F0D1E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E9D084F8">
      <w:start w:val="1"/>
      <w:numFmt w:val="lowerRoman"/>
      <w:lvlText w:val="%1.)"/>
      <w:lvlJc w:val="left"/>
      <w:pPr>
        <w:tabs>
          <w:tab w:val="num" w:pos="540"/>
        </w:tabs>
        <w:ind w:left="255" w:hanging="435"/>
      </w:pPr>
      <w:rPr>
        <w:rFonts w:hint="default"/>
      </w:rPr>
    </w:lvl>
    <w:lvl w:ilvl="1" w:tplc="B8E606A6" w:tentative="1">
      <w:start w:val="1"/>
      <w:numFmt w:val="lowerLetter"/>
      <w:lvlText w:val="%2."/>
      <w:lvlJc w:val="left"/>
      <w:pPr>
        <w:tabs>
          <w:tab w:val="num" w:pos="1260"/>
        </w:tabs>
        <w:ind w:left="1260" w:hanging="360"/>
      </w:pPr>
    </w:lvl>
    <w:lvl w:ilvl="2" w:tplc="74D817A8" w:tentative="1">
      <w:start w:val="1"/>
      <w:numFmt w:val="lowerRoman"/>
      <w:lvlText w:val="%3."/>
      <w:lvlJc w:val="right"/>
      <w:pPr>
        <w:tabs>
          <w:tab w:val="num" w:pos="1980"/>
        </w:tabs>
        <w:ind w:left="1980" w:hanging="180"/>
      </w:pPr>
    </w:lvl>
    <w:lvl w:ilvl="3" w:tplc="0EE81D8E" w:tentative="1">
      <w:start w:val="1"/>
      <w:numFmt w:val="decimal"/>
      <w:lvlText w:val="%4."/>
      <w:lvlJc w:val="left"/>
      <w:pPr>
        <w:tabs>
          <w:tab w:val="num" w:pos="2700"/>
        </w:tabs>
        <w:ind w:left="2700" w:hanging="360"/>
      </w:pPr>
    </w:lvl>
    <w:lvl w:ilvl="4" w:tplc="23885CC4" w:tentative="1">
      <w:start w:val="1"/>
      <w:numFmt w:val="lowerLetter"/>
      <w:lvlText w:val="%5."/>
      <w:lvlJc w:val="left"/>
      <w:pPr>
        <w:tabs>
          <w:tab w:val="num" w:pos="3420"/>
        </w:tabs>
        <w:ind w:left="3420" w:hanging="360"/>
      </w:pPr>
    </w:lvl>
    <w:lvl w:ilvl="5" w:tplc="3E186C22" w:tentative="1">
      <w:start w:val="1"/>
      <w:numFmt w:val="lowerRoman"/>
      <w:lvlText w:val="%6."/>
      <w:lvlJc w:val="right"/>
      <w:pPr>
        <w:tabs>
          <w:tab w:val="num" w:pos="4140"/>
        </w:tabs>
        <w:ind w:left="4140" w:hanging="180"/>
      </w:pPr>
    </w:lvl>
    <w:lvl w:ilvl="6" w:tplc="C3820B76" w:tentative="1">
      <w:start w:val="1"/>
      <w:numFmt w:val="decimal"/>
      <w:lvlText w:val="%7."/>
      <w:lvlJc w:val="left"/>
      <w:pPr>
        <w:tabs>
          <w:tab w:val="num" w:pos="4860"/>
        </w:tabs>
        <w:ind w:left="4860" w:hanging="360"/>
      </w:pPr>
    </w:lvl>
    <w:lvl w:ilvl="7" w:tplc="EB301C62" w:tentative="1">
      <w:start w:val="1"/>
      <w:numFmt w:val="lowerLetter"/>
      <w:lvlText w:val="%8."/>
      <w:lvlJc w:val="left"/>
      <w:pPr>
        <w:tabs>
          <w:tab w:val="num" w:pos="5580"/>
        </w:tabs>
        <w:ind w:left="5580" w:hanging="360"/>
      </w:pPr>
    </w:lvl>
    <w:lvl w:ilvl="8" w:tplc="5D6C752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AC0A9F86">
      <w:start w:val="1"/>
      <w:numFmt w:val="bullet"/>
      <w:lvlText w:val=""/>
      <w:lvlJc w:val="left"/>
      <w:pPr>
        <w:tabs>
          <w:tab w:val="num" w:pos="720"/>
        </w:tabs>
        <w:ind w:left="720" w:hanging="360"/>
      </w:pPr>
      <w:rPr>
        <w:rFonts w:ascii="Symbol" w:hAnsi="Symbol" w:hint="default"/>
      </w:rPr>
    </w:lvl>
    <w:lvl w:ilvl="1" w:tplc="473E87B2" w:tentative="1">
      <w:start w:val="1"/>
      <w:numFmt w:val="bullet"/>
      <w:lvlText w:val="o"/>
      <w:lvlJc w:val="left"/>
      <w:pPr>
        <w:tabs>
          <w:tab w:val="num" w:pos="1440"/>
        </w:tabs>
        <w:ind w:left="1440" w:hanging="360"/>
      </w:pPr>
      <w:rPr>
        <w:rFonts w:ascii="Courier New" w:hAnsi="Courier New" w:hint="default"/>
      </w:rPr>
    </w:lvl>
    <w:lvl w:ilvl="2" w:tplc="192E82E8" w:tentative="1">
      <w:start w:val="1"/>
      <w:numFmt w:val="bullet"/>
      <w:lvlText w:val=""/>
      <w:lvlJc w:val="left"/>
      <w:pPr>
        <w:tabs>
          <w:tab w:val="num" w:pos="2160"/>
        </w:tabs>
        <w:ind w:left="2160" w:hanging="360"/>
      </w:pPr>
      <w:rPr>
        <w:rFonts w:ascii="Wingdings" w:hAnsi="Wingdings" w:hint="default"/>
      </w:rPr>
    </w:lvl>
    <w:lvl w:ilvl="3" w:tplc="8BA6FC16" w:tentative="1">
      <w:start w:val="1"/>
      <w:numFmt w:val="bullet"/>
      <w:lvlText w:val=""/>
      <w:lvlJc w:val="left"/>
      <w:pPr>
        <w:tabs>
          <w:tab w:val="num" w:pos="2880"/>
        </w:tabs>
        <w:ind w:left="2880" w:hanging="360"/>
      </w:pPr>
      <w:rPr>
        <w:rFonts w:ascii="Symbol" w:hAnsi="Symbol" w:hint="default"/>
      </w:rPr>
    </w:lvl>
    <w:lvl w:ilvl="4" w:tplc="7C3433B0" w:tentative="1">
      <w:start w:val="1"/>
      <w:numFmt w:val="bullet"/>
      <w:lvlText w:val="o"/>
      <w:lvlJc w:val="left"/>
      <w:pPr>
        <w:tabs>
          <w:tab w:val="num" w:pos="3600"/>
        </w:tabs>
        <w:ind w:left="3600" w:hanging="360"/>
      </w:pPr>
      <w:rPr>
        <w:rFonts w:ascii="Courier New" w:hAnsi="Courier New" w:hint="default"/>
      </w:rPr>
    </w:lvl>
    <w:lvl w:ilvl="5" w:tplc="5B88FB0E" w:tentative="1">
      <w:start w:val="1"/>
      <w:numFmt w:val="bullet"/>
      <w:lvlText w:val=""/>
      <w:lvlJc w:val="left"/>
      <w:pPr>
        <w:tabs>
          <w:tab w:val="num" w:pos="4320"/>
        </w:tabs>
        <w:ind w:left="4320" w:hanging="360"/>
      </w:pPr>
      <w:rPr>
        <w:rFonts w:ascii="Wingdings" w:hAnsi="Wingdings" w:hint="default"/>
      </w:rPr>
    </w:lvl>
    <w:lvl w:ilvl="6" w:tplc="0C100742" w:tentative="1">
      <w:start w:val="1"/>
      <w:numFmt w:val="bullet"/>
      <w:lvlText w:val=""/>
      <w:lvlJc w:val="left"/>
      <w:pPr>
        <w:tabs>
          <w:tab w:val="num" w:pos="5040"/>
        </w:tabs>
        <w:ind w:left="5040" w:hanging="360"/>
      </w:pPr>
      <w:rPr>
        <w:rFonts w:ascii="Symbol" w:hAnsi="Symbol" w:hint="default"/>
      </w:rPr>
    </w:lvl>
    <w:lvl w:ilvl="7" w:tplc="BD7E1D9C" w:tentative="1">
      <w:start w:val="1"/>
      <w:numFmt w:val="bullet"/>
      <w:lvlText w:val="o"/>
      <w:lvlJc w:val="left"/>
      <w:pPr>
        <w:tabs>
          <w:tab w:val="num" w:pos="5760"/>
        </w:tabs>
        <w:ind w:left="5760" w:hanging="360"/>
      </w:pPr>
      <w:rPr>
        <w:rFonts w:ascii="Courier New" w:hAnsi="Courier New" w:hint="default"/>
      </w:rPr>
    </w:lvl>
    <w:lvl w:ilvl="8" w:tplc="3FB6B210"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F4040668">
      <w:start w:val="1"/>
      <w:numFmt w:val="lowerRoman"/>
      <w:lvlText w:val="%1.)"/>
      <w:lvlJc w:val="left"/>
      <w:pPr>
        <w:tabs>
          <w:tab w:val="num" w:pos="720"/>
        </w:tabs>
        <w:ind w:left="435" w:hanging="435"/>
      </w:pPr>
      <w:rPr>
        <w:rFonts w:hint="default"/>
      </w:rPr>
    </w:lvl>
    <w:lvl w:ilvl="1" w:tplc="1D964EC4">
      <w:start w:val="8"/>
      <w:numFmt w:val="decimal"/>
      <w:lvlText w:val="%2."/>
      <w:lvlJc w:val="left"/>
      <w:pPr>
        <w:tabs>
          <w:tab w:val="num" w:pos="1080"/>
        </w:tabs>
        <w:ind w:left="1080" w:hanging="360"/>
      </w:pPr>
      <w:rPr>
        <w:rFonts w:hint="default"/>
      </w:rPr>
    </w:lvl>
    <w:lvl w:ilvl="2" w:tplc="2B969744" w:tentative="1">
      <w:start w:val="1"/>
      <w:numFmt w:val="lowerRoman"/>
      <w:lvlText w:val="%3."/>
      <w:lvlJc w:val="right"/>
      <w:pPr>
        <w:tabs>
          <w:tab w:val="num" w:pos="1800"/>
        </w:tabs>
        <w:ind w:left="1800" w:hanging="180"/>
      </w:pPr>
    </w:lvl>
    <w:lvl w:ilvl="3" w:tplc="AC22128E" w:tentative="1">
      <w:start w:val="1"/>
      <w:numFmt w:val="decimal"/>
      <w:lvlText w:val="%4."/>
      <w:lvlJc w:val="left"/>
      <w:pPr>
        <w:tabs>
          <w:tab w:val="num" w:pos="2520"/>
        </w:tabs>
        <w:ind w:left="2520" w:hanging="360"/>
      </w:pPr>
    </w:lvl>
    <w:lvl w:ilvl="4" w:tplc="46907100" w:tentative="1">
      <w:start w:val="1"/>
      <w:numFmt w:val="lowerLetter"/>
      <w:lvlText w:val="%5."/>
      <w:lvlJc w:val="left"/>
      <w:pPr>
        <w:tabs>
          <w:tab w:val="num" w:pos="3240"/>
        </w:tabs>
        <w:ind w:left="3240" w:hanging="360"/>
      </w:pPr>
    </w:lvl>
    <w:lvl w:ilvl="5" w:tplc="887ED974" w:tentative="1">
      <w:start w:val="1"/>
      <w:numFmt w:val="lowerRoman"/>
      <w:lvlText w:val="%6."/>
      <w:lvlJc w:val="right"/>
      <w:pPr>
        <w:tabs>
          <w:tab w:val="num" w:pos="3960"/>
        </w:tabs>
        <w:ind w:left="3960" w:hanging="180"/>
      </w:pPr>
    </w:lvl>
    <w:lvl w:ilvl="6" w:tplc="DB1E9A98" w:tentative="1">
      <w:start w:val="1"/>
      <w:numFmt w:val="decimal"/>
      <w:lvlText w:val="%7."/>
      <w:lvlJc w:val="left"/>
      <w:pPr>
        <w:tabs>
          <w:tab w:val="num" w:pos="4680"/>
        </w:tabs>
        <w:ind w:left="4680" w:hanging="360"/>
      </w:pPr>
    </w:lvl>
    <w:lvl w:ilvl="7" w:tplc="46E89EE8" w:tentative="1">
      <w:start w:val="1"/>
      <w:numFmt w:val="lowerLetter"/>
      <w:lvlText w:val="%8."/>
      <w:lvlJc w:val="left"/>
      <w:pPr>
        <w:tabs>
          <w:tab w:val="num" w:pos="5400"/>
        </w:tabs>
        <w:ind w:left="5400" w:hanging="360"/>
      </w:pPr>
    </w:lvl>
    <w:lvl w:ilvl="8" w:tplc="9A22777C"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80443BFA">
      <w:start w:val="1"/>
      <w:numFmt w:val="lowerLetter"/>
      <w:lvlText w:val="%1)"/>
      <w:lvlJc w:val="left"/>
      <w:pPr>
        <w:tabs>
          <w:tab w:val="num" w:pos="720"/>
        </w:tabs>
        <w:ind w:left="720" w:hanging="360"/>
      </w:pPr>
    </w:lvl>
    <w:lvl w:ilvl="1" w:tplc="4A702EB0" w:tentative="1">
      <w:start w:val="1"/>
      <w:numFmt w:val="lowerLetter"/>
      <w:lvlText w:val="%2."/>
      <w:lvlJc w:val="left"/>
      <w:pPr>
        <w:tabs>
          <w:tab w:val="num" w:pos="1440"/>
        </w:tabs>
        <w:ind w:left="1440" w:hanging="360"/>
      </w:pPr>
    </w:lvl>
    <w:lvl w:ilvl="2" w:tplc="A4FA779A" w:tentative="1">
      <w:start w:val="1"/>
      <w:numFmt w:val="lowerRoman"/>
      <w:lvlText w:val="%3."/>
      <w:lvlJc w:val="right"/>
      <w:pPr>
        <w:tabs>
          <w:tab w:val="num" w:pos="2160"/>
        </w:tabs>
        <w:ind w:left="2160" w:hanging="180"/>
      </w:pPr>
    </w:lvl>
    <w:lvl w:ilvl="3" w:tplc="E70400F6" w:tentative="1">
      <w:start w:val="1"/>
      <w:numFmt w:val="decimal"/>
      <w:lvlText w:val="%4."/>
      <w:lvlJc w:val="left"/>
      <w:pPr>
        <w:tabs>
          <w:tab w:val="num" w:pos="2880"/>
        </w:tabs>
        <w:ind w:left="2880" w:hanging="360"/>
      </w:pPr>
    </w:lvl>
    <w:lvl w:ilvl="4" w:tplc="33E66B6A" w:tentative="1">
      <w:start w:val="1"/>
      <w:numFmt w:val="lowerLetter"/>
      <w:lvlText w:val="%5."/>
      <w:lvlJc w:val="left"/>
      <w:pPr>
        <w:tabs>
          <w:tab w:val="num" w:pos="3600"/>
        </w:tabs>
        <w:ind w:left="3600" w:hanging="360"/>
      </w:pPr>
    </w:lvl>
    <w:lvl w:ilvl="5" w:tplc="3306C56A" w:tentative="1">
      <w:start w:val="1"/>
      <w:numFmt w:val="lowerRoman"/>
      <w:lvlText w:val="%6."/>
      <w:lvlJc w:val="right"/>
      <w:pPr>
        <w:tabs>
          <w:tab w:val="num" w:pos="4320"/>
        </w:tabs>
        <w:ind w:left="4320" w:hanging="180"/>
      </w:pPr>
    </w:lvl>
    <w:lvl w:ilvl="6" w:tplc="2D0A4130" w:tentative="1">
      <w:start w:val="1"/>
      <w:numFmt w:val="decimal"/>
      <w:lvlText w:val="%7."/>
      <w:lvlJc w:val="left"/>
      <w:pPr>
        <w:tabs>
          <w:tab w:val="num" w:pos="5040"/>
        </w:tabs>
        <w:ind w:left="5040" w:hanging="360"/>
      </w:pPr>
    </w:lvl>
    <w:lvl w:ilvl="7" w:tplc="55C02470" w:tentative="1">
      <w:start w:val="1"/>
      <w:numFmt w:val="lowerLetter"/>
      <w:lvlText w:val="%8."/>
      <w:lvlJc w:val="left"/>
      <w:pPr>
        <w:tabs>
          <w:tab w:val="num" w:pos="5760"/>
        </w:tabs>
        <w:ind w:left="5760" w:hanging="360"/>
      </w:pPr>
    </w:lvl>
    <w:lvl w:ilvl="8" w:tplc="61E4E3F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84A4FE42">
      <w:start w:val="1"/>
      <w:numFmt w:val="lowerRoman"/>
      <w:lvlText w:val="%1.)"/>
      <w:lvlJc w:val="left"/>
      <w:pPr>
        <w:tabs>
          <w:tab w:val="num" w:pos="720"/>
        </w:tabs>
        <w:ind w:left="435" w:hanging="435"/>
      </w:pPr>
      <w:rPr>
        <w:rFonts w:hint="default"/>
      </w:rPr>
    </w:lvl>
    <w:lvl w:ilvl="1" w:tplc="B1A828FC" w:tentative="1">
      <w:start w:val="1"/>
      <w:numFmt w:val="lowerLetter"/>
      <w:lvlText w:val="%2."/>
      <w:lvlJc w:val="left"/>
      <w:pPr>
        <w:tabs>
          <w:tab w:val="num" w:pos="1440"/>
        </w:tabs>
        <w:ind w:left="1440" w:hanging="360"/>
      </w:pPr>
    </w:lvl>
    <w:lvl w:ilvl="2" w:tplc="D24E73B4" w:tentative="1">
      <w:start w:val="1"/>
      <w:numFmt w:val="lowerRoman"/>
      <w:lvlText w:val="%3."/>
      <w:lvlJc w:val="right"/>
      <w:pPr>
        <w:tabs>
          <w:tab w:val="num" w:pos="2160"/>
        </w:tabs>
        <w:ind w:left="2160" w:hanging="180"/>
      </w:pPr>
    </w:lvl>
    <w:lvl w:ilvl="3" w:tplc="46F6E00C" w:tentative="1">
      <w:start w:val="1"/>
      <w:numFmt w:val="decimal"/>
      <w:lvlText w:val="%4."/>
      <w:lvlJc w:val="left"/>
      <w:pPr>
        <w:tabs>
          <w:tab w:val="num" w:pos="2880"/>
        </w:tabs>
        <w:ind w:left="2880" w:hanging="360"/>
      </w:pPr>
    </w:lvl>
    <w:lvl w:ilvl="4" w:tplc="DDDA723C" w:tentative="1">
      <w:start w:val="1"/>
      <w:numFmt w:val="lowerLetter"/>
      <w:lvlText w:val="%5."/>
      <w:lvlJc w:val="left"/>
      <w:pPr>
        <w:tabs>
          <w:tab w:val="num" w:pos="3600"/>
        </w:tabs>
        <w:ind w:left="3600" w:hanging="360"/>
      </w:pPr>
    </w:lvl>
    <w:lvl w:ilvl="5" w:tplc="FDCAFD3A" w:tentative="1">
      <w:start w:val="1"/>
      <w:numFmt w:val="lowerRoman"/>
      <w:lvlText w:val="%6."/>
      <w:lvlJc w:val="right"/>
      <w:pPr>
        <w:tabs>
          <w:tab w:val="num" w:pos="4320"/>
        </w:tabs>
        <w:ind w:left="4320" w:hanging="180"/>
      </w:pPr>
    </w:lvl>
    <w:lvl w:ilvl="6" w:tplc="34B0CA08" w:tentative="1">
      <w:start w:val="1"/>
      <w:numFmt w:val="decimal"/>
      <w:lvlText w:val="%7."/>
      <w:lvlJc w:val="left"/>
      <w:pPr>
        <w:tabs>
          <w:tab w:val="num" w:pos="5040"/>
        </w:tabs>
        <w:ind w:left="5040" w:hanging="360"/>
      </w:pPr>
    </w:lvl>
    <w:lvl w:ilvl="7" w:tplc="4A30AC2C" w:tentative="1">
      <w:start w:val="1"/>
      <w:numFmt w:val="lowerLetter"/>
      <w:lvlText w:val="%8."/>
      <w:lvlJc w:val="left"/>
      <w:pPr>
        <w:tabs>
          <w:tab w:val="num" w:pos="5760"/>
        </w:tabs>
        <w:ind w:left="5760" w:hanging="360"/>
      </w:pPr>
    </w:lvl>
    <w:lvl w:ilvl="8" w:tplc="C0528D8A"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6FF450A6">
      <w:start w:val="1"/>
      <w:numFmt w:val="bullet"/>
      <w:lvlText w:val=""/>
      <w:lvlJc w:val="left"/>
      <w:pPr>
        <w:tabs>
          <w:tab w:val="num" w:pos="720"/>
        </w:tabs>
        <w:ind w:left="720" w:hanging="360"/>
      </w:pPr>
      <w:rPr>
        <w:rFonts w:ascii="Symbol" w:hAnsi="Symbol" w:hint="default"/>
      </w:rPr>
    </w:lvl>
    <w:lvl w:ilvl="1" w:tplc="7DE0980C" w:tentative="1">
      <w:start w:val="1"/>
      <w:numFmt w:val="bullet"/>
      <w:lvlText w:val="o"/>
      <w:lvlJc w:val="left"/>
      <w:pPr>
        <w:tabs>
          <w:tab w:val="num" w:pos="1440"/>
        </w:tabs>
        <w:ind w:left="1440" w:hanging="360"/>
      </w:pPr>
      <w:rPr>
        <w:rFonts w:ascii="Courier New" w:hAnsi="Courier New" w:hint="default"/>
      </w:rPr>
    </w:lvl>
    <w:lvl w:ilvl="2" w:tplc="6D6E807A" w:tentative="1">
      <w:start w:val="1"/>
      <w:numFmt w:val="bullet"/>
      <w:lvlText w:val=""/>
      <w:lvlJc w:val="left"/>
      <w:pPr>
        <w:tabs>
          <w:tab w:val="num" w:pos="2160"/>
        </w:tabs>
        <w:ind w:left="2160" w:hanging="360"/>
      </w:pPr>
      <w:rPr>
        <w:rFonts w:ascii="Wingdings" w:hAnsi="Wingdings" w:hint="default"/>
      </w:rPr>
    </w:lvl>
    <w:lvl w:ilvl="3" w:tplc="6944DE9A" w:tentative="1">
      <w:start w:val="1"/>
      <w:numFmt w:val="bullet"/>
      <w:lvlText w:val=""/>
      <w:lvlJc w:val="left"/>
      <w:pPr>
        <w:tabs>
          <w:tab w:val="num" w:pos="2880"/>
        </w:tabs>
        <w:ind w:left="2880" w:hanging="360"/>
      </w:pPr>
      <w:rPr>
        <w:rFonts w:ascii="Symbol" w:hAnsi="Symbol" w:hint="default"/>
      </w:rPr>
    </w:lvl>
    <w:lvl w:ilvl="4" w:tplc="494A0C0E" w:tentative="1">
      <w:start w:val="1"/>
      <w:numFmt w:val="bullet"/>
      <w:lvlText w:val="o"/>
      <w:lvlJc w:val="left"/>
      <w:pPr>
        <w:tabs>
          <w:tab w:val="num" w:pos="3600"/>
        </w:tabs>
        <w:ind w:left="3600" w:hanging="360"/>
      </w:pPr>
      <w:rPr>
        <w:rFonts w:ascii="Courier New" w:hAnsi="Courier New" w:hint="default"/>
      </w:rPr>
    </w:lvl>
    <w:lvl w:ilvl="5" w:tplc="B5B2F490" w:tentative="1">
      <w:start w:val="1"/>
      <w:numFmt w:val="bullet"/>
      <w:lvlText w:val=""/>
      <w:lvlJc w:val="left"/>
      <w:pPr>
        <w:tabs>
          <w:tab w:val="num" w:pos="4320"/>
        </w:tabs>
        <w:ind w:left="4320" w:hanging="360"/>
      </w:pPr>
      <w:rPr>
        <w:rFonts w:ascii="Wingdings" w:hAnsi="Wingdings" w:hint="default"/>
      </w:rPr>
    </w:lvl>
    <w:lvl w:ilvl="6" w:tplc="B7CA6726" w:tentative="1">
      <w:start w:val="1"/>
      <w:numFmt w:val="bullet"/>
      <w:lvlText w:val=""/>
      <w:lvlJc w:val="left"/>
      <w:pPr>
        <w:tabs>
          <w:tab w:val="num" w:pos="5040"/>
        </w:tabs>
        <w:ind w:left="5040" w:hanging="360"/>
      </w:pPr>
      <w:rPr>
        <w:rFonts w:ascii="Symbol" w:hAnsi="Symbol" w:hint="default"/>
      </w:rPr>
    </w:lvl>
    <w:lvl w:ilvl="7" w:tplc="985C8216" w:tentative="1">
      <w:start w:val="1"/>
      <w:numFmt w:val="bullet"/>
      <w:lvlText w:val="o"/>
      <w:lvlJc w:val="left"/>
      <w:pPr>
        <w:tabs>
          <w:tab w:val="num" w:pos="5760"/>
        </w:tabs>
        <w:ind w:left="5760" w:hanging="360"/>
      </w:pPr>
      <w:rPr>
        <w:rFonts w:ascii="Courier New" w:hAnsi="Courier New" w:hint="default"/>
      </w:rPr>
    </w:lvl>
    <w:lvl w:ilvl="8" w:tplc="05E8E2A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023AD99E">
      <w:start w:val="1"/>
      <w:numFmt w:val="bullet"/>
      <w:lvlText w:val=""/>
      <w:lvlJc w:val="left"/>
      <w:pPr>
        <w:tabs>
          <w:tab w:val="num" w:pos="1440"/>
        </w:tabs>
        <w:ind w:left="1440" w:hanging="360"/>
      </w:pPr>
      <w:rPr>
        <w:rFonts w:ascii="Symbol" w:hAnsi="Symbol" w:hint="default"/>
      </w:rPr>
    </w:lvl>
    <w:lvl w:ilvl="1" w:tplc="12B61ABA" w:tentative="1">
      <w:start w:val="1"/>
      <w:numFmt w:val="bullet"/>
      <w:lvlText w:val="o"/>
      <w:lvlJc w:val="left"/>
      <w:pPr>
        <w:tabs>
          <w:tab w:val="num" w:pos="2160"/>
        </w:tabs>
        <w:ind w:left="2160" w:hanging="360"/>
      </w:pPr>
      <w:rPr>
        <w:rFonts w:ascii="Courier New" w:hAnsi="Courier New" w:hint="default"/>
      </w:rPr>
    </w:lvl>
    <w:lvl w:ilvl="2" w:tplc="C17C3A96" w:tentative="1">
      <w:start w:val="1"/>
      <w:numFmt w:val="bullet"/>
      <w:lvlText w:val=""/>
      <w:lvlJc w:val="left"/>
      <w:pPr>
        <w:tabs>
          <w:tab w:val="num" w:pos="2880"/>
        </w:tabs>
        <w:ind w:left="2880" w:hanging="360"/>
      </w:pPr>
      <w:rPr>
        <w:rFonts w:ascii="Wingdings" w:hAnsi="Wingdings" w:hint="default"/>
      </w:rPr>
    </w:lvl>
    <w:lvl w:ilvl="3" w:tplc="EA542FC4" w:tentative="1">
      <w:start w:val="1"/>
      <w:numFmt w:val="bullet"/>
      <w:lvlText w:val=""/>
      <w:lvlJc w:val="left"/>
      <w:pPr>
        <w:tabs>
          <w:tab w:val="num" w:pos="3600"/>
        </w:tabs>
        <w:ind w:left="3600" w:hanging="360"/>
      </w:pPr>
      <w:rPr>
        <w:rFonts w:ascii="Symbol" w:hAnsi="Symbol" w:hint="default"/>
      </w:rPr>
    </w:lvl>
    <w:lvl w:ilvl="4" w:tplc="EC981EFA" w:tentative="1">
      <w:start w:val="1"/>
      <w:numFmt w:val="bullet"/>
      <w:lvlText w:val="o"/>
      <w:lvlJc w:val="left"/>
      <w:pPr>
        <w:tabs>
          <w:tab w:val="num" w:pos="4320"/>
        </w:tabs>
        <w:ind w:left="4320" w:hanging="360"/>
      </w:pPr>
      <w:rPr>
        <w:rFonts w:ascii="Courier New" w:hAnsi="Courier New" w:hint="default"/>
      </w:rPr>
    </w:lvl>
    <w:lvl w:ilvl="5" w:tplc="D8085696" w:tentative="1">
      <w:start w:val="1"/>
      <w:numFmt w:val="bullet"/>
      <w:lvlText w:val=""/>
      <w:lvlJc w:val="left"/>
      <w:pPr>
        <w:tabs>
          <w:tab w:val="num" w:pos="5040"/>
        </w:tabs>
        <w:ind w:left="5040" w:hanging="360"/>
      </w:pPr>
      <w:rPr>
        <w:rFonts w:ascii="Wingdings" w:hAnsi="Wingdings" w:hint="default"/>
      </w:rPr>
    </w:lvl>
    <w:lvl w:ilvl="6" w:tplc="2CFC2418" w:tentative="1">
      <w:start w:val="1"/>
      <w:numFmt w:val="bullet"/>
      <w:lvlText w:val=""/>
      <w:lvlJc w:val="left"/>
      <w:pPr>
        <w:tabs>
          <w:tab w:val="num" w:pos="5760"/>
        </w:tabs>
        <w:ind w:left="5760" w:hanging="360"/>
      </w:pPr>
      <w:rPr>
        <w:rFonts w:ascii="Symbol" w:hAnsi="Symbol" w:hint="default"/>
      </w:rPr>
    </w:lvl>
    <w:lvl w:ilvl="7" w:tplc="F77CE490" w:tentative="1">
      <w:start w:val="1"/>
      <w:numFmt w:val="bullet"/>
      <w:lvlText w:val="o"/>
      <w:lvlJc w:val="left"/>
      <w:pPr>
        <w:tabs>
          <w:tab w:val="num" w:pos="6480"/>
        </w:tabs>
        <w:ind w:left="6480" w:hanging="360"/>
      </w:pPr>
      <w:rPr>
        <w:rFonts w:ascii="Courier New" w:hAnsi="Courier New" w:hint="default"/>
      </w:rPr>
    </w:lvl>
    <w:lvl w:ilvl="8" w:tplc="100E348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3A6A7B40">
      <w:start w:val="1"/>
      <w:numFmt w:val="bullet"/>
      <w:lvlText w:val=""/>
      <w:lvlJc w:val="left"/>
      <w:pPr>
        <w:tabs>
          <w:tab w:val="num" w:pos="1440"/>
        </w:tabs>
        <w:ind w:left="1440" w:hanging="360"/>
      </w:pPr>
      <w:rPr>
        <w:rFonts w:ascii="Symbol" w:hAnsi="Symbol" w:hint="default"/>
      </w:rPr>
    </w:lvl>
    <w:lvl w:ilvl="1" w:tplc="C56A092A" w:tentative="1">
      <w:start w:val="1"/>
      <w:numFmt w:val="bullet"/>
      <w:lvlText w:val="o"/>
      <w:lvlJc w:val="left"/>
      <w:pPr>
        <w:tabs>
          <w:tab w:val="num" w:pos="2160"/>
        </w:tabs>
        <w:ind w:left="2160" w:hanging="360"/>
      </w:pPr>
      <w:rPr>
        <w:rFonts w:ascii="Courier New" w:hAnsi="Courier New" w:hint="default"/>
      </w:rPr>
    </w:lvl>
    <w:lvl w:ilvl="2" w:tplc="F2DA4EBA" w:tentative="1">
      <w:start w:val="1"/>
      <w:numFmt w:val="bullet"/>
      <w:lvlText w:val=""/>
      <w:lvlJc w:val="left"/>
      <w:pPr>
        <w:tabs>
          <w:tab w:val="num" w:pos="2880"/>
        </w:tabs>
        <w:ind w:left="2880" w:hanging="360"/>
      </w:pPr>
      <w:rPr>
        <w:rFonts w:ascii="Wingdings" w:hAnsi="Wingdings" w:hint="default"/>
      </w:rPr>
    </w:lvl>
    <w:lvl w:ilvl="3" w:tplc="911A09E6" w:tentative="1">
      <w:start w:val="1"/>
      <w:numFmt w:val="bullet"/>
      <w:lvlText w:val=""/>
      <w:lvlJc w:val="left"/>
      <w:pPr>
        <w:tabs>
          <w:tab w:val="num" w:pos="3600"/>
        </w:tabs>
        <w:ind w:left="3600" w:hanging="360"/>
      </w:pPr>
      <w:rPr>
        <w:rFonts w:ascii="Symbol" w:hAnsi="Symbol" w:hint="default"/>
      </w:rPr>
    </w:lvl>
    <w:lvl w:ilvl="4" w:tplc="37A2B05C" w:tentative="1">
      <w:start w:val="1"/>
      <w:numFmt w:val="bullet"/>
      <w:lvlText w:val="o"/>
      <w:lvlJc w:val="left"/>
      <w:pPr>
        <w:tabs>
          <w:tab w:val="num" w:pos="4320"/>
        </w:tabs>
        <w:ind w:left="4320" w:hanging="360"/>
      </w:pPr>
      <w:rPr>
        <w:rFonts w:ascii="Courier New" w:hAnsi="Courier New" w:hint="default"/>
      </w:rPr>
    </w:lvl>
    <w:lvl w:ilvl="5" w:tplc="51D02254" w:tentative="1">
      <w:start w:val="1"/>
      <w:numFmt w:val="bullet"/>
      <w:lvlText w:val=""/>
      <w:lvlJc w:val="left"/>
      <w:pPr>
        <w:tabs>
          <w:tab w:val="num" w:pos="5040"/>
        </w:tabs>
        <w:ind w:left="5040" w:hanging="360"/>
      </w:pPr>
      <w:rPr>
        <w:rFonts w:ascii="Wingdings" w:hAnsi="Wingdings" w:hint="default"/>
      </w:rPr>
    </w:lvl>
    <w:lvl w:ilvl="6" w:tplc="4BB8657C" w:tentative="1">
      <w:start w:val="1"/>
      <w:numFmt w:val="bullet"/>
      <w:lvlText w:val=""/>
      <w:lvlJc w:val="left"/>
      <w:pPr>
        <w:tabs>
          <w:tab w:val="num" w:pos="5760"/>
        </w:tabs>
        <w:ind w:left="5760" w:hanging="360"/>
      </w:pPr>
      <w:rPr>
        <w:rFonts w:ascii="Symbol" w:hAnsi="Symbol" w:hint="default"/>
      </w:rPr>
    </w:lvl>
    <w:lvl w:ilvl="7" w:tplc="C96256C0" w:tentative="1">
      <w:start w:val="1"/>
      <w:numFmt w:val="bullet"/>
      <w:lvlText w:val="o"/>
      <w:lvlJc w:val="left"/>
      <w:pPr>
        <w:tabs>
          <w:tab w:val="num" w:pos="6480"/>
        </w:tabs>
        <w:ind w:left="6480" w:hanging="360"/>
      </w:pPr>
      <w:rPr>
        <w:rFonts w:ascii="Courier New" w:hAnsi="Courier New" w:hint="default"/>
      </w:rPr>
    </w:lvl>
    <w:lvl w:ilvl="8" w:tplc="85FEE4D6"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E9A4C0B0">
      <w:start w:val="1"/>
      <w:numFmt w:val="bullet"/>
      <w:lvlText w:val=""/>
      <w:lvlJc w:val="left"/>
      <w:pPr>
        <w:tabs>
          <w:tab w:val="num" w:pos="1440"/>
        </w:tabs>
        <w:ind w:left="1440" w:hanging="360"/>
      </w:pPr>
      <w:rPr>
        <w:rFonts w:ascii="Symbol" w:hAnsi="Symbol" w:hint="default"/>
      </w:rPr>
    </w:lvl>
    <w:lvl w:ilvl="1" w:tplc="AEEE9096">
      <w:start w:val="1"/>
      <w:numFmt w:val="bullet"/>
      <w:lvlText w:val="o"/>
      <w:lvlJc w:val="left"/>
      <w:pPr>
        <w:tabs>
          <w:tab w:val="num" w:pos="2160"/>
        </w:tabs>
        <w:ind w:left="2160" w:hanging="360"/>
      </w:pPr>
      <w:rPr>
        <w:rFonts w:ascii="Courier New" w:hAnsi="Courier New" w:hint="default"/>
      </w:rPr>
    </w:lvl>
    <w:lvl w:ilvl="2" w:tplc="399A42E8" w:tentative="1">
      <w:start w:val="1"/>
      <w:numFmt w:val="bullet"/>
      <w:lvlText w:val=""/>
      <w:lvlJc w:val="left"/>
      <w:pPr>
        <w:tabs>
          <w:tab w:val="num" w:pos="2880"/>
        </w:tabs>
        <w:ind w:left="2880" w:hanging="360"/>
      </w:pPr>
      <w:rPr>
        <w:rFonts w:ascii="Wingdings" w:hAnsi="Wingdings" w:hint="default"/>
      </w:rPr>
    </w:lvl>
    <w:lvl w:ilvl="3" w:tplc="1AA0BF8C" w:tentative="1">
      <w:start w:val="1"/>
      <w:numFmt w:val="bullet"/>
      <w:lvlText w:val=""/>
      <w:lvlJc w:val="left"/>
      <w:pPr>
        <w:tabs>
          <w:tab w:val="num" w:pos="3600"/>
        </w:tabs>
        <w:ind w:left="3600" w:hanging="360"/>
      </w:pPr>
      <w:rPr>
        <w:rFonts w:ascii="Symbol" w:hAnsi="Symbol" w:hint="default"/>
      </w:rPr>
    </w:lvl>
    <w:lvl w:ilvl="4" w:tplc="DD4EB01E" w:tentative="1">
      <w:start w:val="1"/>
      <w:numFmt w:val="bullet"/>
      <w:lvlText w:val="o"/>
      <w:lvlJc w:val="left"/>
      <w:pPr>
        <w:tabs>
          <w:tab w:val="num" w:pos="4320"/>
        </w:tabs>
        <w:ind w:left="4320" w:hanging="360"/>
      </w:pPr>
      <w:rPr>
        <w:rFonts w:ascii="Courier New" w:hAnsi="Courier New" w:hint="default"/>
      </w:rPr>
    </w:lvl>
    <w:lvl w:ilvl="5" w:tplc="1DC2DD50" w:tentative="1">
      <w:start w:val="1"/>
      <w:numFmt w:val="bullet"/>
      <w:lvlText w:val=""/>
      <w:lvlJc w:val="left"/>
      <w:pPr>
        <w:tabs>
          <w:tab w:val="num" w:pos="5040"/>
        </w:tabs>
        <w:ind w:left="5040" w:hanging="360"/>
      </w:pPr>
      <w:rPr>
        <w:rFonts w:ascii="Wingdings" w:hAnsi="Wingdings" w:hint="default"/>
      </w:rPr>
    </w:lvl>
    <w:lvl w:ilvl="6" w:tplc="F9E80612" w:tentative="1">
      <w:start w:val="1"/>
      <w:numFmt w:val="bullet"/>
      <w:lvlText w:val=""/>
      <w:lvlJc w:val="left"/>
      <w:pPr>
        <w:tabs>
          <w:tab w:val="num" w:pos="5760"/>
        </w:tabs>
        <w:ind w:left="5760" w:hanging="360"/>
      </w:pPr>
      <w:rPr>
        <w:rFonts w:ascii="Symbol" w:hAnsi="Symbol" w:hint="default"/>
      </w:rPr>
    </w:lvl>
    <w:lvl w:ilvl="7" w:tplc="1CAEAD48" w:tentative="1">
      <w:start w:val="1"/>
      <w:numFmt w:val="bullet"/>
      <w:lvlText w:val="o"/>
      <w:lvlJc w:val="left"/>
      <w:pPr>
        <w:tabs>
          <w:tab w:val="num" w:pos="6480"/>
        </w:tabs>
        <w:ind w:left="6480" w:hanging="360"/>
      </w:pPr>
      <w:rPr>
        <w:rFonts w:ascii="Courier New" w:hAnsi="Courier New" w:hint="default"/>
      </w:rPr>
    </w:lvl>
    <w:lvl w:ilvl="8" w:tplc="1F0683F0"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3DF2F2D8">
      <w:start w:val="1"/>
      <w:numFmt w:val="bullet"/>
      <w:lvlText w:val=""/>
      <w:lvlJc w:val="left"/>
      <w:pPr>
        <w:tabs>
          <w:tab w:val="num" w:pos="720"/>
        </w:tabs>
        <w:ind w:left="720" w:hanging="360"/>
      </w:pPr>
      <w:rPr>
        <w:rFonts w:ascii="Symbol" w:hAnsi="Symbol" w:hint="default"/>
      </w:rPr>
    </w:lvl>
    <w:lvl w:ilvl="1" w:tplc="102A63F6">
      <w:start w:val="1"/>
      <w:numFmt w:val="bullet"/>
      <w:lvlText w:val="o"/>
      <w:lvlJc w:val="left"/>
      <w:pPr>
        <w:tabs>
          <w:tab w:val="num" w:pos="1440"/>
        </w:tabs>
        <w:ind w:left="1440" w:hanging="360"/>
      </w:pPr>
      <w:rPr>
        <w:rFonts w:ascii="Courier New" w:hAnsi="Courier New" w:hint="default"/>
      </w:rPr>
    </w:lvl>
    <w:lvl w:ilvl="2" w:tplc="478880C2" w:tentative="1">
      <w:start w:val="1"/>
      <w:numFmt w:val="bullet"/>
      <w:lvlText w:val=""/>
      <w:lvlJc w:val="left"/>
      <w:pPr>
        <w:tabs>
          <w:tab w:val="num" w:pos="2160"/>
        </w:tabs>
        <w:ind w:left="2160" w:hanging="360"/>
      </w:pPr>
      <w:rPr>
        <w:rFonts w:ascii="Wingdings" w:hAnsi="Wingdings" w:hint="default"/>
      </w:rPr>
    </w:lvl>
    <w:lvl w:ilvl="3" w:tplc="0FC42B68" w:tentative="1">
      <w:start w:val="1"/>
      <w:numFmt w:val="bullet"/>
      <w:lvlText w:val=""/>
      <w:lvlJc w:val="left"/>
      <w:pPr>
        <w:tabs>
          <w:tab w:val="num" w:pos="2880"/>
        </w:tabs>
        <w:ind w:left="2880" w:hanging="360"/>
      </w:pPr>
      <w:rPr>
        <w:rFonts w:ascii="Symbol" w:hAnsi="Symbol" w:hint="default"/>
      </w:rPr>
    </w:lvl>
    <w:lvl w:ilvl="4" w:tplc="9EF6B666" w:tentative="1">
      <w:start w:val="1"/>
      <w:numFmt w:val="bullet"/>
      <w:lvlText w:val="o"/>
      <w:lvlJc w:val="left"/>
      <w:pPr>
        <w:tabs>
          <w:tab w:val="num" w:pos="3600"/>
        </w:tabs>
        <w:ind w:left="3600" w:hanging="360"/>
      </w:pPr>
      <w:rPr>
        <w:rFonts w:ascii="Courier New" w:hAnsi="Courier New" w:hint="default"/>
      </w:rPr>
    </w:lvl>
    <w:lvl w:ilvl="5" w:tplc="1A6291E0" w:tentative="1">
      <w:start w:val="1"/>
      <w:numFmt w:val="bullet"/>
      <w:lvlText w:val=""/>
      <w:lvlJc w:val="left"/>
      <w:pPr>
        <w:tabs>
          <w:tab w:val="num" w:pos="4320"/>
        </w:tabs>
        <w:ind w:left="4320" w:hanging="360"/>
      </w:pPr>
      <w:rPr>
        <w:rFonts w:ascii="Wingdings" w:hAnsi="Wingdings" w:hint="default"/>
      </w:rPr>
    </w:lvl>
    <w:lvl w:ilvl="6" w:tplc="BD608BC2" w:tentative="1">
      <w:start w:val="1"/>
      <w:numFmt w:val="bullet"/>
      <w:lvlText w:val=""/>
      <w:lvlJc w:val="left"/>
      <w:pPr>
        <w:tabs>
          <w:tab w:val="num" w:pos="5040"/>
        </w:tabs>
        <w:ind w:left="5040" w:hanging="360"/>
      </w:pPr>
      <w:rPr>
        <w:rFonts w:ascii="Symbol" w:hAnsi="Symbol" w:hint="default"/>
      </w:rPr>
    </w:lvl>
    <w:lvl w:ilvl="7" w:tplc="1956790E" w:tentative="1">
      <w:start w:val="1"/>
      <w:numFmt w:val="bullet"/>
      <w:lvlText w:val="o"/>
      <w:lvlJc w:val="left"/>
      <w:pPr>
        <w:tabs>
          <w:tab w:val="num" w:pos="5760"/>
        </w:tabs>
        <w:ind w:left="5760" w:hanging="360"/>
      </w:pPr>
      <w:rPr>
        <w:rFonts w:ascii="Courier New" w:hAnsi="Courier New" w:hint="default"/>
      </w:rPr>
    </w:lvl>
    <w:lvl w:ilvl="8" w:tplc="6BC86FDE"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43964954">
      <w:start w:val="1"/>
      <w:numFmt w:val="lowerRoman"/>
      <w:lvlText w:val="%1.)"/>
      <w:lvlJc w:val="left"/>
      <w:pPr>
        <w:tabs>
          <w:tab w:val="num" w:pos="540"/>
        </w:tabs>
        <w:ind w:left="255" w:hanging="435"/>
      </w:pPr>
      <w:rPr>
        <w:rFonts w:hint="default"/>
      </w:rPr>
    </w:lvl>
    <w:lvl w:ilvl="1" w:tplc="B3D20C02" w:tentative="1">
      <w:start w:val="1"/>
      <w:numFmt w:val="lowerLetter"/>
      <w:lvlText w:val="%2."/>
      <w:lvlJc w:val="left"/>
      <w:pPr>
        <w:tabs>
          <w:tab w:val="num" w:pos="1260"/>
        </w:tabs>
        <w:ind w:left="1260" w:hanging="360"/>
      </w:pPr>
    </w:lvl>
    <w:lvl w:ilvl="2" w:tplc="1A8815C2" w:tentative="1">
      <w:start w:val="1"/>
      <w:numFmt w:val="lowerRoman"/>
      <w:lvlText w:val="%3."/>
      <w:lvlJc w:val="right"/>
      <w:pPr>
        <w:tabs>
          <w:tab w:val="num" w:pos="1980"/>
        </w:tabs>
        <w:ind w:left="1980" w:hanging="180"/>
      </w:pPr>
    </w:lvl>
    <w:lvl w:ilvl="3" w:tplc="2F16B6BC" w:tentative="1">
      <w:start w:val="1"/>
      <w:numFmt w:val="decimal"/>
      <w:lvlText w:val="%4."/>
      <w:lvlJc w:val="left"/>
      <w:pPr>
        <w:tabs>
          <w:tab w:val="num" w:pos="2700"/>
        </w:tabs>
        <w:ind w:left="2700" w:hanging="360"/>
      </w:pPr>
    </w:lvl>
    <w:lvl w:ilvl="4" w:tplc="D1007C62" w:tentative="1">
      <w:start w:val="1"/>
      <w:numFmt w:val="lowerLetter"/>
      <w:lvlText w:val="%5."/>
      <w:lvlJc w:val="left"/>
      <w:pPr>
        <w:tabs>
          <w:tab w:val="num" w:pos="3420"/>
        </w:tabs>
        <w:ind w:left="3420" w:hanging="360"/>
      </w:pPr>
    </w:lvl>
    <w:lvl w:ilvl="5" w:tplc="2278DF6A" w:tentative="1">
      <w:start w:val="1"/>
      <w:numFmt w:val="lowerRoman"/>
      <w:lvlText w:val="%6."/>
      <w:lvlJc w:val="right"/>
      <w:pPr>
        <w:tabs>
          <w:tab w:val="num" w:pos="4140"/>
        </w:tabs>
        <w:ind w:left="4140" w:hanging="180"/>
      </w:pPr>
    </w:lvl>
    <w:lvl w:ilvl="6" w:tplc="63DA3608" w:tentative="1">
      <w:start w:val="1"/>
      <w:numFmt w:val="decimal"/>
      <w:lvlText w:val="%7."/>
      <w:lvlJc w:val="left"/>
      <w:pPr>
        <w:tabs>
          <w:tab w:val="num" w:pos="4860"/>
        </w:tabs>
        <w:ind w:left="4860" w:hanging="360"/>
      </w:pPr>
    </w:lvl>
    <w:lvl w:ilvl="7" w:tplc="484C1A1C" w:tentative="1">
      <w:start w:val="1"/>
      <w:numFmt w:val="lowerLetter"/>
      <w:lvlText w:val="%8."/>
      <w:lvlJc w:val="left"/>
      <w:pPr>
        <w:tabs>
          <w:tab w:val="num" w:pos="5580"/>
        </w:tabs>
        <w:ind w:left="5580" w:hanging="360"/>
      </w:pPr>
    </w:lvl>
    <w:lvl w:ilvl="8" w:tplc="08CCBDF6"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842C11B2">
      <w:start w:val="1"/>
      <w:numFmt w:val="decimal"/>
      <w:lvlText w:val="%1."/>
      <w:lvlJc w:val="left"/>
      <w:pPr>
        <w:tabs>
          <w:tab w:val="num" w:pos="180"/>
        </w:tabs>
        <w:ind w:left="180" w:hanging="360"/>
      </w:pPr>
      <w:rPr>
        <w:rFonts w:hint="default"/>
      </w:rPr>
    </w:lvl>
    <w:lvl w:ilvl="1" w:tplc="420C1680" w:tentative="1">
      <w:start w:val="1"/>
      <w:numFmt w:val="lowerLetter"/>
      <w:lvlText w:val="%2."/>
      <w:lvlJc w:val="left"/>
      <w:pPr>
        <w:tabs>
          <w:tab w:val="num" w:pos="900"/>
        </w:tabs>
        <w:ind w:left="900" w:hanging="360"/>
      </w:pPr>
    </w:lvl>
    <w:lvl w:ilvl="2" w:tplc="A75A9CFE" w:tentative="1">
      <w:start w:val="1"/>
      <w:numFmt w:val="lowerRoman"/>
      <w:lvlText w:val="%3."/>
      <w:lvlJc w:val="right"/>
      <w:pPr>
        <w:tabs>
          <w:tab w:val="num" w:pos="1620"/>
        </w:tabs>
        <w:ind w:left="1620" w:hanging="180"/>
      </w:pPr>
    </w:lvl>
    <w:lvl w:ilvl="3" w:tplc="69DA3440" w:tentative="1">
      <w:start w:val="1"/>
      <w:numFmt w:val="decimal"/>
      <w:lvlText w:val="%4."/>
      <w:lvlJc w:val="left"/>
      <w:pPr>
        <w:tabs>
          <w:tab w:val="num" w:pos="2340"/>
        </w:tabs>
        <w:ind w:left="2340" w:hanging="360"/>
      </w:pPr>
    </w:lvl>
    <w:lvl w:ilvl="4" w:tplc="EF4E4C52" w:tentative="1">
      <w:start w:val="1"/>
      <w:numFmt w:val="lowerLetter"/>
      <w:lvlText w:val="%5."/>
      <w:lvlJc w:val="left"/>
      <w:pPr>
        <w:tabs>
          <w:tab w:val="num" w:pos="3060"/>
        </w:tabs>
        <w:ind w:left="3060" w:hanging="360"/>
      </w:pPr>
    </w:lvl>
    <w:lvl w:ilvl="5" w:tplc="588EA0AE" w:tentative="1">
      <w:start w:val="1"/>
      <w:numFmt w:val="lowerRoman"/>
      <w:lvlText w:val="%6."/>
      <w:lvlJc w:val="right"/>
      <w:pPr>
        <w:tabs>
          <w:tab w:val="num" w:pos="3780"/>
        </w:tabs>
        <w:ind w:left="3780" w:hanging="180"/>
      </w:pPr>
    </w:lvl>
    <w:lvl w:ilvl="6" w:tplc="DF9ACD82" w:tentative="1">
      <w:start w:val="1"/>
      <w:numFmt w:val="decimal"/>
      <w:lvlText w:val="%7."/>
      <w:lvlJc w:val="left"/>
      <w:pPr>
        <w:tabs>
          <w:tab w:val="num" w:pos="4500"/>
        </w:tabs>
        <w:ind w:left="4500" w:hanging="360"/>
      </w:pPr>
    </w:lvl>
    <w:lvl w:ilvl="7" w:tplc="97DEB45C" w:tentative="1">
      <w:start w:val="1"/>
      <w:numFmt w:val="lowerLetter"/>
      <w:lvlText w:val="%8."/>
      <w:lvlJc w:val="left"/>
      <w:pPr>
        <w:tabs>
          <w:tab w:val="num" w:pos="5220"/>
        </w:tabs>
        <w:ind w:left="5220" w:hanging="360"/>
      </w:pPr>
    </w:lvl>
    <w:lvl w:ilvl="8" w:tplc="A136416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B4FA480A">
      <w:start w:val="1"/>
      <w:numFmt w:val="bullet"/>
      <w:lvlText w:val=""/>
      <w:lvlJc w:val="left"/>
      <w:pPr>
        <w:tabs>
          <w:tab w:val="num" w:pos="720"/>
        </w:tabs>
        <w:ind w:left="720" w:hanging="360"/>
      </w:pPr>
      <w:rPr>
        <w:rFonts w:ascii="Symbol" w:hAnsi="Symbol" w:hint="default"/>
      </w:rPr>
    </w:lvl>
    <w:lvl w:ilvl="1" w:tplc="1756A7BE" w:tentative="1">
      <w:start w:val="1"/>
      <w:numFmt w:val="bullet"/>
      <w:lvlText w:val="o"/>
      <w:lvlJc w:val="left"/>
      <w:pPr>
        <w:tabs>
          <w:tab w:val="num" w:pos="1440"/>
        </w:tabs>
        <w:ind w:left="1440" w:hanging="360"/>
      </w:pPr>
      <w:rPr>
        <w:rFonts w:ascii="Courier New" w:hAnsi="Courier New" w:hint="default"/>
      </w:rPr>
    </w:lvl>
    <w:lvl w:ilvl="2" w:tplc="D26ADC18" w:tentative="1">
      <w:start w:val="1"/>
      <w:numFmt w:val="bullet"/>
      <w:lvlText w:val=""/>
      <w:lvlJc w:val="left"/>
      <w:pPr>
        <w:tabs>
          <w:tab w:val="num" w:pos="2160"/>
        </w:tabs>
        <w:ind w:left="2160" w:hanging="360"/>
      </w:pPr>
      <w:rPr>
        <w:rFonts w:ascii="Wingdings" w:hAnsi="Wingdings" w:hint="default"/>
      </w:rPr>
    </w:lvl>
    <w:lvl w:ilvl="3" w:tplc="22C67930" w:tentative="1">
      <w:start w:val="1"/>
      <w:numFmt w:val="bullet"/>
      <w:lvlText w:val=""/>
      <w:lvlJc w:val="left"/>
      <w:pPr>
        <w:tabs>
          <w:tab w:val="num" w:pos="2880"/>
        </w:tabs>
        <w:ind w:left="2880" w:hanging="360"/>
      </w:pPr>
      <w:rPr>
        <w:rFonts w:ascii="Symbol" w:hAnsi="Symbol" w:hint="default"/>
      </w:rPr>
    </w:lvl>
    <w:lvl w:ilvl="4" w:tplc="844E30E4" w:tentative="1">
      <w:start w:val="1"/>
      <w:numFmt w:val="bullet"/>
      <w:lvlText w:val="o"/>
      <w:lvlJc w:val="left"/>
      <w:pPr>
        <w:tabs>
          <w:tab w:val="num" w:pos="3600"/>
        </w:tabs>
        <w:ind w:left="3600" w:hanging="360"/>
      </w:pPr>
      <w:rPr>
        <w:rFonts w:ascii="Courier New" w:hAnsi="Courier New" w:hint="default"/>
      </w:rPr>
    </w:lvl>
    <w:lvl w:ilvl="5" w:tplc="F5820C88" w:tentative="1">
      <w:start w:val="1"/>
      <w:numFmt w:val="bullet"/>
      <w:lvlText w:val=""/>
      <w:lvlJc w:val="left"/>
      <w:pPr>
        <w:tabs>
          <w:tab w:val="num" w:pos="4320"/>
        </w:tabs>
        <w:ind w:left="4320" w:hanging="360"/>
      </w:pPr>
      <w:rPr>
        <w:rFonts w:ascii="Wingdings" w:hAnsi="Wingdings" w:hint="default"/>
      </w:rPr>
    </w:lvl>
    <w:lvl w:ilvl="6" w:tplc="0E4016B8" w:tentative="1">
      <w:start w:val="1"/>
      <w:numFmt w:val="bullet"/>
      <w:lvlText w:val=""/>
      <w:lvlJc w:val="left"/>
      <w:pPr>
        <w:tabs>
          <w:tab w:val="num" w:pos="5040"/>
        </w:tabs>
        <w:ind w:left="5040" w:hanging="360"/>
      </w:pPr>
      <w:rPr>
        <w:rFonts w:ascii="Symbol" w:hAnsi="Symbol" w:hint="default"/>
      </w:rPr>
    </w:lvl>
    <w:lvl w:ilvl="7" w:tplc="0A18AECE" w:tentative="1">
      <w:start w:val="1"/>
      <w:numFmt w:val="bullet"/>
      <w:lvlText w:val="o"/>
      <w:lvlJc w:val="left"/>
      <w:pPr>
        <w:tabs>
          <w:tab w:val="num" w:pos="5760"/>
        </w:tabs>
        <w:ind w:left="5760" w:hanging="360"/>
      </w:pPr>
      <w:rPr>
        <w:rFonts w:ascii="Courier New" w:hAnsi="Courier New" w:hint="default"/>
      </w:rPr>
    </w:lvl>
    <w:lvl w:ilvl="8" w:tplc="C0FAA930"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E0B656D2">
      <w:start w:val="1"/>
      <w:numFmt w:val="bullet"/>
      <w:lvlText w:val=""/>
      <w:lvlJc w:val="left"/>
      <w:pPr>
        <w:tabs>
          <w:tab w:val="num" w:pos="720"/>
        </w:tabs>
        <w:ind w:left="720" w:hanging="360"/>
      </w:pPr>
      <w:rPr>
        <w:rFonts w:ascii="Symbol" w:hAnsi="Symbol" w:hint="default"/>
      </w:rPr>
    </w:lvl>
    <w:lvl w:ilvl="1" w:tplc="1DC8C7AC">
      <w:start w:val="1"/>
      <w:numFmt w:val="bullet"/>
      <w:lvlText w:val="o"/>
      <w:lvlJc w:val="left"/>
      <w:pPr>
        <w:tabs>
          <w:tab w:val="num" w:pos="1440"/>
        </w:tabs>
        <w:ind w:left="1440" w:hanging="360"/>
      </w:pPr>
      <w:rPr>
        <w:rFonts w:ascii="Courier New" w:hAnsi="Courier New" w:hint="default"/>
      </w:rPr>
    </w:lvl>
    <w:lvl w:ilvl="2" w:tplc="CEC87F0C" w:tentative="1">
      <w:start w:val="1"/>
      <w:numFmt w:val="bullet"/>
      <w:lvlText w:val=""/>
      <w:lvlJc w:val="left"/>
      <w:pPr>
        <w:tabs>
          <w:tab w:val="num" w:pos="2160"/>
        </w:tabs>
        <w:ind w:left="2160" w:hanging="360"/>
      </w:pPr>
      <w:rPr>
        <w:rFonts w:ascii="Wingdings" w:hAnsi="Wingdings" w:hint="default"/>
      </w:rPr>
    </w:lvl>
    <w:lvl w:ilvl="3" w:tplc="4CD0185A" w:tentative="1">
      <w:start w:val="1"/>
      <w:numFmt w:val="bullet"/>
      <w:lvlText w:val=""/>
      <w:lvlJc w:val="left"/>
      <w:pPr>
        <w:tabs>
          <w:tab w:val="num" w:pos="2880"/>
        </w:tabs>
        <w:ind w:left="2880" w:hanging="360"/>
      </w:pPr>
      <w:rPr>
        <w:rFonts w:ascii="Symbol" w:hAnsi="Symbol" w:hint="default"/>
      </w:rPr>
    </w:lvl>
    <w:lvl w:ilvl="4" w:tplc="B1AE0132" w:tentative="1">
      <w:start w:val="1"/>
      <w:numFmt w:val="bullet"/>
      <w:lvlText w:val="o"/>
      <w:lvlJc w:val="left"/>
      <w:pPr>
        <w:tabs>
          <w:tab w:val="num" w:pos="3600"/>
        </w:tabs>
        <w:ind w:left="3600" w:hanging="360"/>
      </w:pPr>
      <w:rPr>
        <w:rFonts w:ascii="Courier New" w:hAnsi="Courier New" w:hint="default"/>
      </w:rPr>
    </w:lvl>
    <w:lvl w:ilvl="5" w:tplc="4B06AF68" w:tentative="1">
      <w:start w:val="1"/>
      <w:numFmt w:val="bullet"/>
      <w:lvlText w:val=""/>
      <w:lvlJc w:val="left"/>
      <w:pPr>
        <w:tabs>
          <w:tab w:val="num" w:pos="4320"/>
        </w:tabs>
        <w:ind w:left="4320" w:hanging="360"/>
      </w:pPr>
      <w:rPr>
        <w:rFonts w:ascii="Wingdings" w:hAnsi="Wingdings" w:hint="default"/>
      </w:rPr>
    </w:lvl>
    <w:lvl w:ilvl="6" w:tplc="9396573C" w:tentative="1">
      <w:start w:val="1"/>
      <w:numFmt w:val="bullet"/>
      <w:lvlText w:val=""/>
      <w:lvlJc w:val="left"/>
      <w:pPr>
        <w:tabs>
          <w:tab w:val="num" w:pos="5040"/>
        </w:tabs>
        <w:ind w:left="5040" w:hanging="360"/>
      </w:pPr>
      <w:rPr>
        <w:rFonts w:ascii="Symbol" w:hAnsi="Symbol" w:hint="default"/>
      </w:rPr>
    </w:lvl>
    <w:lvl w:ilvl="7" w:tplc="16340C7E" w:tentative="1">
      <w:start w:val="1"/>
      <w:numFmt w:val="bullet"/>
      <w:lvlText w:val="o"/>
      <w:lvlJc w:val="left"/>
      <w:pPr>
        <w:tabs>
          <w:tab w:val="num" w:pos="5760"/>
        </w:tabs>
        <w:ind w:left="5760" w:hanging="360"/>
      </w:pPr>
      <w:rPr>
        <w:rFonts w:ascii="Courier New" w:hAnsi="Courier New" w:hint="default"/>
      </w:rPr>
    </w:lvl>
    <w:lvl w:ilvl="8" w:tplc="928C9CFE"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7D9E76DE">
      <w:start w:val="1"/>
      <w:numFmt w:val="decimal"/>
      <w:pStyle w:val="References"/>
      <w:lvlText w:val="%1."/>
      <w:lvlJc w:val="left"/>
      <w:pPr>
        <w:tabs>
          <w:tab w:val="num" w:pos="360"/>
        </w:tabs>
        <w:ind w:left="360" w:hanging="360"/>
      </w:pPr>
      <w:rPr>
        <w:rFonts w:hint="default"/>
      </w:rPr>
    </w:lvl>
    <w:lvl w:ilvl="1" w:tplc="A358EC3C">
      <w:start w:val="1"/>
      <w:numFmt w:val="lowerLetter"/>
      <w:lvlText w:val="%2."/>
      <w:lvlJc w:val="left"/>
      <w:pPr>
        <w:tabs>
          <w:tab w:val="num" w:pos="1620"/>
        </w:tabs>
        <w:ind w:left="1620" w:hanging="360"/>
      </w:pPr>
    </w:lvl>
    <w:lvl w:ilvl="2" w:tplc="48680F9A" w:tentative="1">
      <w:start w:val="1"/>
      <w:numFmt w:val="lowerRoman"/>
      <w:lvlText w:val="%3."/>
      <w:lvlJc w:val="right"/>
      <w:pPr>
        <w:tabs>
          <w:tab w:val="num" w:pos="2340"/>
        </w:tabs>
        <w:ind w:left="2340" w:hanging="180"/>
      </w:pPr>
    </w:lvl>
    <w:lvl w:ilvl="3" w:tplc="C1E64AF2" w:tentative="1">
      <w:start w:val="1"/>
      <w:numFmt w:val="decimal"/>
      <w:lvlText w:val="%4."/>
      <w:lvlJc w:val="left"/>
      <w:pPr>
        <w:tabs>
          <w:tab w:val="num" w:pos="3060"/>
        </w:tabs>
        <w:ind w:left="3060" w:hanging="360"/>
      </w:pPr>
    </w:lvl>
    <w:lvl w:ilvl="4" w:tplc="830CDFB4" w:tentative="1">
      <w:start w:val="1"/>
      <w:numFmt w:val="lowerLetter"/>
      <w:lvlText w:val="%5."/>
      <w:lvlJc w:val="left"/>
      <w:pPr>
        <w:tabs>
          <w:tab w:val="num" w:pos="3780"/>
        </w:tabs>
        <w:ind w:left="3780" w:hanging="360"/>
      </w:pPr>
    </w:lvl>
    <w:lvl w:ilvl="5" w:tplc="98E89CA2" w:tentative="1">
      <w:start w:val="1"/>
      <w:numFmt w:val="lowerRoman"/>
      <w:lvlText w:val="%6."/>
      <w:lvlJc w:val="right"/>
      <w:pPr>
        <w:tabs>
          <w:tab w:val="num" w:pos="4500"/>
        </w:tabs>
        <w:ind w:left="4500" w:hanging="180"/>
      </w:pPr>
    </w:lvl>
    <w:lvl w:ilvl="6" w:tplc="8AD0C6CC" w:tentative="1">
      <w:start w:val="1"/>
      <w:numFmt w:val="decimal"/>
      <w:lvlText w:val="%7."/>
      <w:lvlJc w:val="left"/>
      <w:pPr>
        <w:tabs>
          <w:tab w:val="num" w:pos="5220"/>
        </w:tabs>
        <w:ind w:left="5220" w:hanging="360"/>
      </w:pPr>
    </w:lvl>
    <w:lvl w:ilvl="7" w:tplc="FC0AA68E" w:tentative="1">
      <w:start w:val="1"/>
      <w:numFmt w:val="lowerLetter"/>
      <w:lvlText w:val="%8."/>
      <w:lvlJc w:val="left"/>
      <w:pPr>
        <w:tabs>
          <w:tab w:val="num" w:pos="5940"/>
        </w:tabs>
        <w:ind w:left="5940" w:hanging="360"/>
      </w:pPr>
    </w:lvl>
    <w:lvl w:ilvl="8" w:tplc="070A7EC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E6EA3F64">
      <w:start w:val="1"/>
      <w:numFmt w:val="bullet"/>
      <w:lvlText w:val=""/>
      <w:lvlJc w:val="left"/>
      <w:pPr>
        <w:tabs>
          <w:tab w:val="num" w:pos="720"/>
        </w:tabs>
        <w:ind w:left="720" w:hanging="360"/>
      </w:pPr>
      <w:rPr>
        <w:rFonts w:ascii="Symbol" w:hAnsi="Symbol" w:hint="default"/>
      </w:rPr>
    </w:lvl>
    <w:lvl w:ilvl="1" w:tplc="4014D272" w:tentative="1">
      <w:start w:val="1"/>
      <w:numFmt w:val="bullet"/>
      <w:lvlText w:val="o"/>
      <w:lvlJc w:val="left"/>
      <w:pPr>
        <w:tabs>
          <w:tab w:val="num" w:pos="1440"/>
        </w:tabs>
        <w:ind w:left="1440" w:hanging="360"/>
      </w:pPr>
      <w:rPr>
        <w:rFonts w:ascii="Courier New" w:hAnsi="Courier New" w:hint="default"/>
      </w:rPr>
    </w:lvl>
    <w:lvl w:ilvl="2" w:tplc="2068C0AA" w:tentative="1">
      <w:start w:val="1"/>
      <w:numFmt w:val="bullet"/>
      <w:lvlText w:val=""/>
      <w:lvlJc w:val="left"/>
      <w:pPr>
        <w:tabs>
          <w:tab w:val="num" w:pos="2160"/>
        </w:tabs>
        <w:ind w:left="2160" w:hanging="360"/>
      </w:pPr>
      <w:rPr>
        <w:rFonts w:ascii="Wingdings" w:hAnsi="Wingdings" w:hint="default"/>
      </w:rPr>
    </w:lvl>
    <w:lvl w:ilvl="3" w:tplc="CCC05CAA" w:tentative="1">
      <w:start w:val="1"/>
      <w:numFmt w:val="bullet"/>
      <w:lvlText w:val=""/>
      <w:lvlJc w:val="left"/>
      <w:pPr>
        <w:tabs>
          <w:tab w:val="num" w:pos="2880"/>
        </w:tabs>
        <w:ind w:left="2880" w:hanging="360"/>
      </w:pPr>
      <w:rPr>
        <w:rFonts w:ascii="Symbol" w:hAnsi="Symbol" w:hint="default"/>
      </w:rPr>
    </w:lvl>
    <w:lvl w:ilvl="4" w:tplc="6714EB76" w:tentative="1">
      <w:start w:val="1"/>
      <w:numFmt w:val="bullet"/>
      <w:lvlText w:val="o"/>
      <w:lvlJc w:val="left"/>
      <w:pPr>
        <w:tabs>
          <w:tab w:val="num" w:pos="3600"/>
        </w:tabs>
        <w:ind w:left="3600" w:hanging="360"/>
      </w:pPr>
      <w:rPr>
        <w:rFonts w:ascii="Courier New" w:hAnsi="Courier New" w:hint="default"/>
      </w:rPr>
    </w:lvl>
    <w:lvl w:ilvl="5" w:tplc="CD54C2BA" w:tentative="1">
      <w:start w:val="1"/>
      <w:numFmt w:val="bullet"/>
      <w:lvlText w:val=""/>
      <w:lvlJc w:val="left"/>
      <w:pPr>
        <w:tabs>
          <w:tab w:val="num" w:pos="4320"/>
        </w:tabs>
        <w:ind w:left="4320" w:hanging="360"/>
      </w:pPr>
      <w:rPr>
        <w:rFonts w:ascii="Wingdings" w:hAnsi="Wingdings" w:hint="default"/>
      </w:rPr>
    </w:lvl>
    <w:lvl w:ilvl="6" w:tplc="D0CEF624" w:tentative="1">
      <w:start w:val="1"/>
      <w:numFmt w:val="bullet"/>
      <w:lvlText w:val=""/>
      <w:lvlJc w:val="left"/>
      <w:pPr>
        <w:tabs>
          <w:tab w:val="num" w:pos="5040"/>
        </w:tabs>
        <w:ind w:left="5040" w:hanging="360"/>
      </w:pPr>
      <w:rPr>
        <w:rFonts w:ascii="Symbol" w:hAnsi="Symbol" w:hint="default"/>
      </w:rPr>
    </w:lvl>
    <w:lvl w:ilvl="7" w:tplc="825A4F20" w:tentative="1">
      <w:start w:val="1"/>
      <w:numFmt w:val="bullet"/>
      <w:lvlText w:val="o"/>
      <w:lvlJc w:val="left"/>
      <w:pPr>
        <w:tabs>
          <w:tab w:val="num" w:pos="5760"/>
        </w:tabs>
        <w:ind w:left="5760" w:hanging="360"/>
      </w:pPr>
      <w:rPr>
        <w:rFonts w:ascii="Courier New" w:hAnsi="Courier New" w:hint="default"/>
      </w:rPr>
    </w:lvl>
    <w:lvl w:ilvl="8" w:tplc="EE444B6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17C9A"/>
    <w:rsid w:val="0006052D"/>
    <w:rsid w:val="000C25E0"/>
    <w:rsid w:val="000C47C8"/>
    <w:rsid w:val="000D1981"/>
    <w:rsid w:val="00101211"/>
    <w:rsid w:val="0013166E"/>
    <w:rsid w:val="001422B2"/>
    <w:rsid w:val="00167168"/>
    <w:rsid w:val="001A7BFD"/>
    <w:rsid w:val="001C03E9"/>
    <w:rsid w:val="002D5772"/>
    <w:rsid w:val="003201CE"/>
    <w:rsid w:val="00321672"/>
    <w:rsid w:val="00331E49"/>
    <w:rsid w:val="003468BB"/>
    <w:rsid w:val="003717D6"/>
    <w:rsid w:val="003B018C"/>
    <w:rsid w:val="003B1706"/>
    <w:rsid w:val="003D3CF2"/>
    <w:rsid w:val="003F1C3C"/>
    <w:rsid w:val="003F3CFF"/>
    <w:rsid w:val="00400FBA"/>
    <w:rsid w:val="0047049D"/>
    <w:rsid w:val="00476853"/>
    <w:rsid w:val="004B55A1"/>
    <w:rsid w:val="00502F57"/>
    <w:rsid w:val="00511A27"/>
    <w:rsid w:val="0055048B"/>
    <w:rsid w:val="00572659"/>
    <w:rsid w:val="005A3B85"/>
    <w:rsid w:val="005C6E14"/>
    <w:rsid w:val="006015E6"/>
    <w:rsid w:val="0062783E"/>
    <w:rsid w:val="006B56DD"/>
    <w:rsid w:val="006B7079"/>
    <w:rsid w:val="007C7164"/>
    <w:rsid w:val="00810F60"/>
    <w:rsid w:val="00816CD8"/>
    <w:rsid w:val="00816F08"/>
    <w:rsid w:val="0082054A"/>
    <w:rsid w:val="008643AC"/>
    <w:rsid w:val="0086483E"/>
    <w:rsid w:val="008762B5"/>
    <w:rsid w:val="008B7FB7"/>
    <w:rsid w:val="008D3CA5"/>
    <w:rsid w:val="008E09E7"/>
    <w:rsid w:val="008F5567"/>
    <w:rsid w:val="0090021D"/>
    <w:rsid w:val="0090057C"/>
    <w:rsid w:val="00970B3D"/>
    <w:rsid w:val="00990E46"/>
    <w:rsid w:val="009F3F6B"/>
    <w:rsid w:val="00A247C7"/>
    <w:rsid w:val="00A31356"/>
    <w:rsid w:val="00A4795C"/>
    <w:rsid w:val="00A94B63"/>
    <w:rsid w:val="00AC1BD3"/>
    <w:rsid w:val="00AC1EFA"/>
    <w:rsid w:val="00AD0733"/>
    <w:rsid w:val="00B23F47"/>
    <w:rsid w:val="00B24161"/>
    <w:rsid w:val="00B914FF"/>
    <w:rsid w:val="00B9654B"/>
    <w:rsid w:val="00BA5D7A"/>
    <w:rsid w:val="00C22FCA"/>
    <w:rsid w:val="00C61F55"/>
    <w:rsid w:val="00C80856"/>
    <w:rsid w:val="00CB6B95"/>
    <w:rsid w:val="00D47785"/>
    <w:rsid w:val="00D767DA"/>
    <w:rsid w:val="00D83B67"/>
    <w:rsid w:val="00D86C07"/>
    <w:rsid w:val="00DC30DF"/>
    <w:rsid w:val="00DE6B94"/>
    <w:rsid w:val="00E02990"/>
    <w:rsid w:val="00E62244"/>
    <w:rsid w:val="00E76E69"/>
    <w:rsid w:val="00EE2EA4"/>
    <w:rsid w:val="00F334B0"/>
    <w:rsid w:val="00F35231"/>
    <w:rsid w:val="00F5184E"/>
    <w:rsid w:val="00F73B4C"/>
    <w:rsid w:val="00F8064C"/>
    <w:rsid w:val="00FA017C"/>
    <w:rsid w:val="00FA23DE"/>
    <w:rsid w:val="00FB7C34"/>
    <w:rsid w:val="00FC0FD9"/>
    <w:rsid w:val="00FC6C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EA4"/>
    <w:rPr>
      <w:rFonts w:ascii="Times New Roman" w:hAnsi="Times New Roman"/>
      <w:lang w:val="en-GB"/>
    </w:rPr>
  </w:style>
  <w:style w:type="paragraph" w:styleId="Heading1">
    <w:name w:val="heading 1"/>
    <w:basedOn w:val="Normal"/>
    <w:next w:val="Normal"/>
    <w:qFormat/>
    <w:rsid w:val="00EE2EA4"/>
    <w:pPr>
      <w:keepNext/>
      <w:spacing w:before="240" w:after="60"/>
      <w:outlineLvl w:val="0"/>
    </w:pPr>
    <w:rPr>
      <w:rFonts w:ascii="Arial" w:hAnsi="Arial"/>
      <w:b/>
      <w:sz w:val="28"/>
    </w:rPr>
  </w:style>
  <w:style w:type="paragraph" w:styleId="Heading2">
    <w:name w:val="heading 2"/>
    <w:basedOn w:val="Normal"/>
    <w:next w:val="Normal"/>
    <w:qFormat/>
    <w:rsid w:val="00EE2EA4"/>
    <w:pPr>
      <w:keepNext/>
      <w:spacing w:before="240" w:after="60"/>
      <w:outlineLvl w:val="1"/>
    </w:pPr>
    <w:rPr>
      <w:rFonts w:ascii="Arial" w:hAnsi="Arial"/>
      <w:b/>
      <w:i/>
      <w:sz w:val="22"/>
    </w:rPr>
  </w:style>
  <w:style w:type="paragraph" w:styleId="Heading3">
    <w:name w:val="heading 3"/>
    <w:basedOn w:val="Normal"/>
    <w:next w:val="Normal"/>
    <w:qFormat/>
    <w:rsid w:val="00EE2EA4"/>
    <w:pPr>
      <w:keepNext/>
      <w:spacing w:before="240" w:after="60"/>
      <w:outlineLvl w:val="2"/>
    </w:pPr>
    <w:rPr>
      <w:rFonts w:ascii="Arial" w:hAnsi="Arial"/>
      <w:b/>
      <w:bCs/>
    </w:rPr>
  </w:style>
  <w:style w:type="paragraph" w:styleId="Heading4">
    <w:name w:val="heading 4"/>
    <w:basedOn w:val="Normal"/>
    <w:next w:val="Normal"/>
    <w:link w:val="Heading4Char"/>
    <w:qFormat/>
    <w:rsid w:val="00EE2EA4"/>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2EA4"/>
    <w:pPr>
      <w:tabs>
        <w:tab w:val="center" w:pos="4320"/>
        <w:tab w:val="right" w:pos="8640"/>
      </w:tabs>
    </w:pPr>
  </w:style>
  <w:style w:type="paragraph" w:styleId="Header">
    <w:name w:val="header"/>
    <w:basedOn w:val="Normal"/>
    <w:rsid w:val="00EE2EA4"/>
    <w:pPr>
      <w:tabs>
        <w:tab w:val="center" w:pos="5400"/>
        <w:tab w:val="right" w:pos="10800"/>
      </w:tabs>
    </w:pPr>
    <w:rPr>
      <w:rFonts w:ascii="Arial" w:hAnsi="Arial"/>
      <w:sz w:val="16"/>
    </w:rPr>
  </w:style>
  <w:style w:type="paragraph" w:styleId="Title">
    <w:name w:val="Title"/>
    <w:basedOn w:val="Number"/>
    <w:next w:val="Author"/>
    <w:qFormat/>
    <w:rsid w:val="00EE2EA4"/>
    <w:pPr>
      <w:spacing w:before="0" w:after="0"/>
    </w:pPr>
    <w:rPr>
      <w:b/>
      <w:bCs/>
      <w:sz w:val="22"/>
    </w:rPr>
  </w:style>
  <w:style w:type="paragraph" w:customStyle="1" w:styleId="Number">
    <w:name w:val="Number"/>
    <w:basedOn w:val="Normal"/>
    <w:next w:val="Title"/>
    <w:rsid w:val="00EE2EA4"/>
    <w:pPr>
      <w:spacing w:before="120" w:after="360"/>
    </w:pPr>
    <w:rPr>
      <w:rFonts w:ascii="Arial" w:hAnsi="Arial"/>
      <w:sz w:val="28"/>
    </w:rPr>
  </w:style>
  <w:style w:type="paragraph" w:customStyle="1" w:styleId="Author">
    <w:name w:val="Author"/>
    <w:basedOn w:val="Normal"/>
    <w:next w:val="copyright"/>
    <w:rsid w:val="00EE2EA4"/>
    <w:pPr>
      <w:spacing w:after="480"/>
    </w:pPr>
    <w:rPr>
      <w:rFonts w:ascii="Arial" w:hAnsi="Arial"/>
    </w:rPr>
  </w:style>
  <w:style w:type="paragraph" w:customStyle="1" w:styleId="copyright">
    <w:name w:val="copyright"/>
    <w:basedOn w:val="Author"/>
    <w:rsid w:val="00EE2EA4"/>
    <w:pPr>
      <w:spacing w:after="0" w:line="140" w:lineRule="exact"/>
      <w:jc w:val="both"/>
    </w:pPr>
    <w:rPr>
      <w:sz w:val="12"/>
    </w:rPr>
  </w:style>
  <w:style w:type="paragraph" w:styleId="BodyText">
    <w:name w:val="Body Text"/>
    <w:basedOn w:val="Normal"/>
    <w:rsid w:val="00EE2EA4"/>
    <w:rPr>
      <w:sz w:val="22"/>
    </w:rPr>
  </w:style>
  <w:style w:type="paragraph" w:styleId="BodyText2">
    <w:name w:val="Body Text 2"/>
    <w:basedOn w:val="Normal"/>
    <w:link w:val="BodyText2Char"/>
    <w:rsid w:val="00EE2EA4"/>
    <w:pPr>
      <w:ind w:firstLine="360"/>
      <w:jc w:val="both"/>
    </w:pPr>
  </w:style>
  <w:style w:type="paragraph" w:styleId="BlockText">
    <w:name w:val="Block Text"/>
    <w:basedOn w:val="Normal"/>
    <w:rsid w:val="00EE2EA4"/>
    <w:pPr>
      <w:ind w:left="144" w:right="-86" w:hanging="144"/>
      <w:jc w:val="both"/>
    </w:pPr>
  </w:style>
  <w:style w:type="paragraph" w:customStyle="1" w:styleId="rule">
    <w:name w:val="rule"/>
    <w:basedOn w:val="Normal"/>
    <w:next w:val="copyright"/>
    <w:rsid w:val="00EE2EA4"/>
  </w:style>
  <w:style w:type="paragraph" w:customStyle="1" w:styleId="Head4">
    <w:name w:val="Head4"/>
    <w:basedOn w:val="Head3"/>
    <w:next w:val="para1"/>
    <w:rsid w:val="00EE2EA4"/>
    <w:rPr>
      <w:b w:val="0"/>
    </w:rPr>
  </w:style>
  <w:style w:type="paragraph" w:customStyle="1" w:styleId="Head3">
    <w:name w:val="Head3"/>
    <w:basedOn w:val="para"/>
    <w:next w:val="para1"/>
    <w:rsid w:val="00EE2EA4"/>
    <w:pPr>
      <w:ind w:firstLine="288"/>
    </w:pPr>
    <w:rPr>
      <w:b/>
      <w:i/>
    </w:rPr>
  </w:style>
  <w:style w:type="paragraph" w:customStyle="1" w:styleId="para">
    <w:name w:val="para"/>
    <w:basedOn w:val="Normal"/>
    <w:next w:val="para1"/>
    <w:rsid w:val="00EE2EA4"/>
    <w:pPr>
      <w:jc w:val="both"/>
    </w:pPr>
  </w:style>
  <w:style w:type="paragraph" w:customStyle="1" w:styleId="para1">
    <w:name w:val="para1"/>
    <w:basedOn w:val="para"/>
    <w:rsid w:val="00EE2EA4"/>
    <w:pPr>
      <w:spacing w:before="120"/>
      <w:ind w:firstLine="288"/>
    </w:pPr>
  </w:style>
  <w:style w:type="paragraph" w:styleId="BodyText3">
    <w:name w:val="Body Text 3"/>
    <w:basedOn w:val="Normal"/>
    <w:rsid w:val="00EE2EA4"/>
    <w:pPr>
      <w:ind w:right="-90"/>
      <w:jc w:val="both"/>
    </w:pPr>
    <w:rPr>
      <w:sz w:val="24"/>
    </w:rPr>
  </w:style>
  <w:style w:type="paragraph" w:customStyle="1" w:styleId="Head2">
    <w:name w:val="Head2"/>
    <w:basedOn w:val="Head1"/>
    <w:next w:val="para1"/>
    <w:rsid w:val="00EE2EA4"/>
    <w:pPr>
      <w:keepNext w:val="0"/>
      <w:jc w:val="both"/>
    </w:pPr>
    <w:rPr>
      <w:rFonts w:ascii="Times New Roman" w:hAnsi="Times New Roman"/>
    </w:rPr>
  </w:style>
  <w:style w:type="paragraph" w:customStyle="1" w:styleId="Head1">
    <w:name w:val="Head1"/>
    <w:basedOn w:val="Normal"/>
    <w:next w:val="para"/>
    <w:rsid w:val="00EE2EA4"/>
    <w:pPr>
      <w:keepNext/>
    </w:pPr>
    <w:rPr>
      <w:rFonts w:ascii="Arial" w:hAnsi="Arial"/>
      <w:b/>
    </w:rPr>
  </w:style>
  <w:style w:type="paragraph" w:customStyle="1" w:styleId="References">
    <w:name w:val="References"/>
    <w:basedOn w:val="para"/>
    <w:rsid w:val="00EE2EA4"/>
    <w:pPr>
      <w:numPr>
        <w:numId w:val="24"/>
      </w:numPr>
      <w:tabs>
        <w:tab w:val="right" w:pos="360"/>
      </w:tabs>
    </w:pPr>
  </w:style>
  <w:style w:type="paragraph" w:styleId="BodyTextIndent">
    <w:name w:val="Body Text Indent"/>
    <w:basedOn w:val="Normal"/>
    <w:rsid w:val="00EE2EA4"/>
    <w:pPr>
      <w:ind w:left="1080" w:hanging="1080"/>
      <w:jc w:val="both"/>
    </w:pPr>
    <w:rPr>
      <w:rFonts w:ascii="Arial" w:hAnsi="Arial"/>
      <w:sz w:val="22"/>
      <w:lang w:val="en-US"/>
    </w:rPr>
  </w:style>
  <w:style w:type="paragraph" w:styleId="BodyTextIndent2">
    <w:name w:val="Body Text Indent 2"/>
    <w:basedOn w:val="Normal"/>
    <w:rsid w:val="00EE2EA4"/>
    <w:pPr>
      <w:ind w:left="360" w:hanging="720"/>
    </w:pPr>
  </w:style>
  <w:style w:type="character" w:styleId="Hyperlink">
    <w:name w:val="Hyperlink"/>
    <w:basedOn w:val="DefaultParagraphFont"/>
    <w:rsid w:val="00EE2EA4"/>
    <w:rPr>
      <w:color w:val="0000FF"/>
      <w:u w:val="single"/>
    </w:rPr>
  </w:style>
  <w:style w:type="character" w:customStyle="1" w:styleId="Heading4Char">
    <w:name w:val="Heading 4 Char"/>
    <w:basedOn w:val="DefaultParagraphFont"/>
    <w:link w:val="Heading4"/>
    <w:rsid w:val="003B018C"/>
    <w:rPr>
      <w:rFonts w:ascii="Arial" w:hAnsi="Arial"/>
      <w:snapToGrid w:val="0"/>
      <w:color w:val="000000"/>
      <w:sz w:val="24"/>
      <w:lang w:val="en-GB"/>
    </w:rPr>
  </w:style>
  <w:style w:type="paragraph" w:styleId="BalloonText">
    <w:name w:val="Balloon Text"/>
    <w:basedOn w:val="Normal"/>
    <w:link w:val="BalloonTextChar"/>
    <w:rsid w:val="004B55A1"/>
    <w:rPr>
      <w:rFonts w:ascii="Tahoma" w:hAnsi="Tahoma" w:cs="Tahoma"/>
      <w:sz w:val="16"/>
      <w:szCs w:val="16"/>
    </w:rPr>
  </w:style>
  <w:style w:type="character" w:customStyle="1" w:styleId="BalloonTextChar">
    <w:name w:val="Balloon Text Char"/>
    <w:basedOn w:val="DefaultParagraphFont"/>
    <w:link w:val="BalloonText"/>
    <w:rsid w:val="004B55A1"/>
    <w:rPr>
      <w:rFonts w:ascii="Tahoma" w:hAnsi="Tahoma" w:cs="Tahoma"/>
      <w:sz w:val="16"/>
      <w:szCs w:val="16"/>
      <w:lang w:val="en-GB"/>
    </w:rPr>
  </w:style>
  <w:style w:type="paragraph" w:styleId="Bibliography">
    <w:name w:val="Bibliography"/>
    <w:basedOn w:val="Normal"/>
    <w:next w:val="Normal"/>
    <w:uiPriority w:val="37"/>
    <w:unhideWhenUsed/>
    <w:rsid w:val="0055048B"/>
  </w:style>
  <w:style w:type="paragraph" w:styleId="FootnoteText">
    <w:name w:val="footnote text"/>
    <w:basedOn w:val="Normal"/>
    <w:link w:val="FootnoteTextChar"/>
    <w:uiPriority w:val="99"/>
    <w:unhideWhenUsed/>
    <w:rsid w:val="00DC30DF"/>
    <w:rPr>
      <w:rFonts w:eastAsiaTheme="minorEastAsia" w:cstheme="minorBidi"/>
      <w:lang w:val="en-US"/>
    </w:rPr>
  </w:style>
  <w:style w:type="character" w:customStyle="1" w:styleId="FootnoteTextChar">
    <w:name w:val="Footnote Text Char"/>
    <w:basedOn w:val="DefaultParagraphFont"/>
    <w:link w:val="FootnoteText"/>
    <w:uiPriority w:val="99"/>
    <w:rsid w:val="00DC30DF"/>
    <w:rPr>
      <w:rFonts w:ascii="Times New Roman" w:eastAsiaTheme="minorEastAsia" w:hAnsi="Times New Roman" w:cstheme="minorBidi"/>
    </w:rPr>
  </w:style>
  <w:style w:type="character" w:styleId="FootnoteReference">
    <w:name w:val="footnote reference"/>
    <w:basedOn w:val="DefaultParagraphFont"/>
    <w:uiPriority w:val="99"/>
    <w:unhideWhenUsed/>
    <w:rsid w:val="00DC30DF"/>
    <w:rPr>
      <w:vertAlign w:val="superscript"/>
    </w:rPr>
  </w:style>
  <w:style w:type="character" w:customStyle="1" w:styleId="BodyText2Char">
    <w:name w:val="Body Text 2 Char"/>
    <w:basedOn w:val="DefaultParagraphFont"/>
    <w:link w:val="BodyText2"/>
    <w:rsid w:val="00DC30DF"/>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EA4"/>
    <w:rPr>
      <w:rFonts w:ascii="Times New Roman" w:hAnsi="Times New Roman"/>
      <w:lang w:val="en-GB"/>
    </w:rPr>
  </w:style>
  <w:style w:type="paragraph" w:styleId="Heading1">
    <w:name w:val="heading 1"/>
    <w:basedOn w:val="Normal"/>
    <w:next w:val="Normal"/>
    <w:qFormat/>
    <w:rsid w:val="00EE2EA4"/>
    <w:pPr>
      <w:keepNext/>
      <w:spacing w:before="240" w:after="60"/>
      <w:outlineLvl w:val="0"/>
    </w:pPr>
    <w:rPr>
      <w:rFonts w:ascii="Arial" w:hAnsi="Arial"/>
      <w:b/>
      <w:sz w:val="28"/>
    </w:rPr>
  </w:style>
  <w:style w:type="paragraph" w:styleId="Heading2">
    <w:name w:val="heading 2"/>
    <w:basedOn w:val="Normal"/>
    <w:next w:val="Normal"/>
    <w:qFormat/>
    <w:rsid w:val="00EE2EA4"/>
    <w:pPr>
      <w:keepNext/>
      <w:spacing w:before="240" w:after="60"/>
      <w:outlineLvl w:val="1"/>
    </w:pPr>
    <w:rPr>
      <w:rFonts w:ascii="Arial" w:hAnsi="Arial"/>
      <w:b/>
      <w:i/>
      <w:sz w:val="22"/>
    </w:rPr>
  </w:style>
  <w:style w:type="paragraph" w:styleId="Heading3">
    <w:name w:val="heading 3"/>
    <w:basedOn w:val="Normal"/>
    <w:next w:val="Normal"/>
    <w:qFormat/>
    <w:rsid w:val="00EE2EA4"/>
    <w:pPr>
      <w:keepNext/>
      <w:spacing w:before="240" w:after="60"/>
      <w:outlineLvl w:val="2"/>
    </w:pPr>
    <w:rPr>
      <w:rFonts w:ascii="Arial" w:hAnsi="Arial"/>
      <w:b/>
      <w:bCs/>
    </w:rPr>
  </w:style>
  <w:style w:type="paragraph" w:styleId="Heading4">
    <w:name w:val="heading 4"/>
    <w:basedOn w:val="Normal"/>
    <w:next w:val="Normal"/>
    <w:link w:val="Heading4Char"/>
    <w:qFormat/>
    <w:rsid w:val="00EE2EA4"/>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2EA4"/>
    <w:pPr>
      <w:tabs>
        <w:tab w:val="center" w:pos="4320"/>
        <w:tab w:val="right" w:pos="8640"/>
      </w:tabs>
    </w:pPr>
  </w:style>
  <w:style w:type="paragraph" w:styleId="Header">
    <w:name w:val="header"/>
    <w:basedOn w:val="Normal"/>
    <w:rsid w:val="00EE2EA4"/>
    <w:pPr>
      <w:tabs>
        <w:tab w:val="center" w:pos="5400"/>
        <w:tab w:val="right" w:pos="10800"/>
      </w:tabs>
    </w:pPr>
    <w:rPr>
      <w:rFonts w:ascii="Arial" w:hAnsi="Arial"/>
      <w:sz w:val="16"/>
    </w:rPr>
  </w:style>
  <w:style w:type="paragraph" w:styleId="Title">
    <w:name w:val="Title"/>
    <w:basedOn w:val="Number"/>
    <w:next w:val="Author"/>
    <w:qFormat/>
    <w:rsid w:val="00EE2EA4"/>
    <w:pPr>
      <w:spacing w:before="0" w:after="0"/>
    </w:pPr>
    <w:rPr>
      <w:b/>
      <w:bCs/>
      <w:sz w:val="22"/>
    </w:rPr>
  </w:style>
  <w:style w:type="paragraph" w:customStyle="1" w:styleId="Number">
    <w:name w:val="Number"/>
    <w:basedOn w:val="Normal"/>
    <w:next w:val="Title"/>
    <w:rsid w:val="00EE2EA4"/>
    <w:pPr>
      <w:spacing w:before="120" w:after="360"/>
    </w:pPr>
    <w:rPr>
      <w:rFonts w:ascii="Arial" w:hAnsi="Arial"/>
      <w:sz w:val="28"/>
    </w:rPr>
  </w:style>
  <w:style w:type="paragraph" w:customStyle="1" w:styleId="Author">
    <w:name w:val="Author"/>
    <w:basedOn w:val="Normal"/>
    <w:next w:val="copyright"/>
    <w:rsid w:val="00EE2EA4"/>
    <w:pPr>
      <w:spacing w:after="480"/>
    </w:pPr>
    <w:rPr>
      <w:rFonts w:ascii="Arial" w:hAnsi="Arial"/>
    </w:rPr>
  </w:style>
  <w:style w:type="paragraph" w:customStyle="1" w:styleId="copyright">
    <w:name w:val="copyright"/>
    <w:basedOn w:val="Author"/>
    <w:rsid w:val="00EE2EA4"/>
    <w:pPr>
      <w:spacing w:after="0" w:line="140" w:lineRule="exact"/>
      <w:jc w:val="both"/>
    </w:pPr>
    <w:rPr>
      <w:sz w:val="12"/>
    </w:rPr>
  </w:style>
  <w:style w:type="paragraph" w:styleId="BodyText">
    <w:name w:val="Body Text"/>
    <w:basedOn w:val="Normal"/>
    <w:rsid w:val="00EE2EA4"/>
    <w:rPr>
      <w:sz w:val="22"/>
    </w:rPr>
  </w:style>
  <w:style w:type="paragraph" w:styleId="BodyText2">
    <w:name w:val="Body Text 2"/>
    <w:basedOn w:val="Normal"/>
    <w:link w:val="BodyText2Char"/>
    <w:rsid w:val="00EE2EA4"/>
    <w:pPr>
      <w:ind w:firstLine="360"/>
      <w:jc w:val="both"/>
    </w:pPr>
  </w:style>
  <w:style w:type="paragraph" w:styleId="BlockText">
    <w:name w:val="Block Text"/>
    <w:basedOn w:val="Normal"/>
    <w:rsid w:val="00EE2EA4"/>
    <w:pPr>
      <w:ind w:left="144" w:right="-86" w:hanging="144"/>
      <w:jc w:val="both"/>
    </w:pPr>
  </w:style>
  <w:style w:type="paragraph" w:customStyle="1" w:styleId="rule">
    <w:name w:val="rule"/>
    <w:basedOn w:val="Normal"/>
    <w:next w:val="copyright"/>
    <w:rsid w:val="00EE2EA4"/>
  </w:style>
  <w:style w:type="paragraph" w:customStyle="1" w:styleId="Head4">
    <w:name w:val="Head4"/>
    <w:basedOn w:val="Head3"/>
    <w:next w:val="para1"/>
    <w:rsid w:val="00EE2EA4"/>
    <w:rPr>
      <w:b w:val="0"/>
    </w:rPr>
  </w:style>
  <w:style w:type="paragraph" w:customStyle="1" w:styleId="Head3">
    <w:name w:val="Head3"/>
    <w:basedOn w:val="para"/>
    <w:next w:val="para1"/>
    <w:rsid w:val="00EE2EA4"/>
    <w:pPr>
      <w:ind w:firstLine="288"/>
    </w:pPr>
    <w:rPr>
      <w:b/>
      <w:i/>
    </w:rPr>
  </w:style>
  <w:style w:type="paragraph" w:customStyle="1" w:styleId="para">
    <w:name w:val="para"/>
    <w:basedOn w:val="Normal"/>
    <w:next w:val="para1"/>
    <w:rsid w:val="00EE2EA4"/>
    <w:pPr>
      <w:jc w:val="both"/>
    </w:pPr>
  </w:style>
  <w:style w:type="paragraph" w:customStyle="1" w:styleId="para1">
    <w:name w:val="para1"/>
    <w:basedOn w:val="para"/>
    <w:rsid w:val="00EE2EA4"/>
    <w:pPr>
      <w:spacing w:before="120"/>
      <w:ind w:firstLine="288"/>
    </w:pPr>
  </w:style>
  <w:style w:type="paragraph" w:styleId="BodyText3">
    <w:name w:val="Body Text 3"/>
    <w:basedOn w:val="Normal"/>
    <w:rsid w:val="00EE2EA4"/>
    <w:pPr>
      <w:ind w:right="-90"/>
      <w:jc w:val="both"/>
    </w:pPr>
    <w:rPr>
      <w:sz w:val="24"/>
    </w:rPr>
  </w:style>
  <w:style w:type="paragraph" w:customStyle="1" w:styleId="Head2">
    <w:name w:val="Head2"/>
    <w:basedOn w:val="Head1"/>
    <w:next w:val="para1"/>
    <w:rsid w:val="00EE2EA4"/>
    <w:pPr>
      <w:keepNext w:val="0"/>
      <w:jc w:val="both"/>
    </w:pPr>
    <w:rPr>
      <w:rFonts w:ascii="Times New Roman" w:hAnsi="Times New Roman"/>
    </w:rPr>
  </w:style>
  <w:style w:type="paragraph" w:customStyle="1" w:styleId="Head1">
    <w:name w:val="Head1"/>
    <w:basedOn w:val="Normal"/>
    <w:next w:val="para"/>
    <w:rsid w:val="00EE2EA4"/>
    <w:pPr>
      <w:keepNext/>
    </w:pPr>
    <w:rPr>
      <w:rFonts w:ascii="Arial" w:hAnsi="Arial"/>
      <w:b/>
    </w:rPr>
  </w:style>
  <w:style w:type="paragraph" w:customStyle="1" w:styleId="References">
    <w:name w:val="References"/>
    <w:basedOn w:val="para"/>
    <w:rsid w:val="00EE2EA4"/>
    <w:pPr>
      <w:numPr>
        <w:numId w:val="24"/>
      </w:numPr>
      <w:tabs>
        <w:tab w:val="right" w:pos="360"/>
      </w:tabs>
    </w:pPr>
  </w:style>
  <w:style w:type="paragraph" w:styleId="BodyTextIndent">
    <w:name w:val="Body Text Indent"/>
    <w:basedOn w:val="Normal"/>
    <w:rsid w:val="00EE2EA4"/>
    <w:pPr>
      <w:ind w:left="1080" w:hanging="1080"/>
      <w:jc w:val="both"/>
    </w:pPr>
    <w:rPr>
      <w:rFonts w:ascii="Arial" w:hAnsi="Arial"/>
      <w:sz w:val="22"/>
      <w:lang w:val="en-US"/>
    </w:rPr>
  </w:style>
  <w:style w:type="paragraph" w:styleId="BodyTextIndent2">
    <w:name w:val="Body Text Indent 2"/>
    <w:basedOn w:val="Normal"/>
    <w:rsid w:val="00EE2EA4"/>
    <w:pPr>
      <w:ind w:left="360" w:hanging="720"/>
    </w:pPr>
  </w:style>
  <w:style w:type="character" w:styleId="Hyperlink">
    <w:name w:val="Hyperlink"/>
    <w:basedOn w:val="DefaultParagraphFont"/>
    <w:rsid w:val="00EE2EA4"/>
    <w:rPr>
      <w:color w:val="0000FF"/>
      <w:u w:val="single"/>
    </w:rPr>
  </w:style>
  <w:style w:type="character" w:customStyle="1" w:styleId="Heading4Char">
    <w:name w:val="Heading 4 Char"/>
    <w:basedOn w:val="DefaultParagraphFont"/>
    <w:link w:val="Heading4"/>
    <w:rsid w:val="003B018C"/>
    <w:rPr>
      <w:rFonts w:ascii="Arial" w:hAnsi="Arial"/>
      <w:snapToGrid w:val="0"/>
      <w:color w:val="000000"/>
      <w:sz w:val="24"/>
      <w:lang w:val="en-GB"/>
    </w:rPr>
  </w:style>
  <w:style w:type="paragraph" w:styleId="BalloonText">
    <w:name w:val="Balloon Text"/>
    <w:basedOn w:val="Normal"/>
    <w:link w:val="BalloonTextChar"/>
    <w:rsid w:val="004B55A1"/>
    <w:rPr>
      <w:rFonts w:ascii="Tahoma" w:hAnsi="Tahoma" w:cs="Tahoma"/>
      <w:sz w:val="16"/>
      <w:szCs w:val="16"/>
    </w:rPr>
  </w:style>
  <w:style w:type="character" w:customStyle="1" w:styleId="BalloonTextChar">
    <w:name w:val="Balloon Text Char"/>
    <w:basedOn w:val="DefaultParagraphFont"/>
    <w:link w:val="BalloonText"/>
    <w:rsid w:val="004B55A1"/>
    <w:rPr>
      <w:rFonts w:ascii="Tahoma" w:hAnsi="Tahoma" w:cs="Tahoma"/>
      <w:sz w:val="16"/>
      <w:szCs w:val="16"/>
      <w:lang w:val="en-GB"/>
    </w:rPr>
  </w:style>
  <w:style w:type="paragraph" w:styleId="Bibliography">
    <w:name w:val="Bibliography"/>
    <w:basedOn w:val="Normal"/>
    <w:next w:val="Normal"/>
    <w:uiPriority w:val="37"/>
    <w:unhideWhenUsed/>
    <w:rsid w:val="0055048B"/>
  </w:style>
  <w:style w:type="paragraph" w:styleId="FootnoteText">
    <w:name w:val="footnote text"/>
    <w:basedOn w:val="Normal"/>
    <w:link w:val="FootnoteTextChar"/>
    <w:uiPriority w:val="99"/>
    <w:unhideWhenUsed/>
    <w:rsid w:val="00DC30DF"/>
    <w:rPr>
      <w:rFonts w:eastAsiaTheme="minorEastAsia" w:cstheme="minorBidi"/>
      <w:lang w:val="en-US"/>
    </w:rPr>
  </w:style>
  <w:style w:type="character" w:customStyle="1" w:styleId="FootnoteTextChar">
    <w:name w:val="Footnote Text Char"/>
    <w:basedOn w:val="DefaultParagraphFont"/>
    <w:link w:val="FootnoteText"/>
    <w:uiPriority w:val="99"/>
    <w:rsid w:val="00DC30DF"/>
    <w:rPr>
      <w:rFonts w:ascii="Times New Roman" w:eastAsiaTheme="minorEastAsia" w:hAnsi="Times New Roman" w:cstheme="minorBidi"/>
    </w:rPr>
  </w:style>
  <w:style w:type="character" w:styleId="FootnoteReference">
    <w:name w:val="footnote reference"/>
    <w:basedOn w:val="DefaultParagraphFont"/>
    <w:uiPriority w:val="99"/>
    <w:unhideWhenUsed/>
    <w:rsid w:val="00DC30DF"/>
    <w:rPr>
      <w:vertAlign w:val="superscript"/>
    </w:rPr>
  </w:style>
  <w:style w:type="character" w:customStyle="1" w:styleId="BodyText2Char">
    <w:name w:val="Body Text 2 Char"/>
    <w:basedOn w:val="DefaultParagraphFont"/>
    <w:link w:val="BodyText2"/>
    <w:rsid w:val="00DC30DF"/>
    <w:rPr>
      <w:rFonts w:ascii="Times New Roman" w:hAnsi="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Report</b:SourceType>
    <b:Tag>Bindemann1999</b:Tag>
    <b:Title>Production Sharing Agreements: An Economic Analysis</b:Title>
    <b:Year>1999</b:Year>
    <b:Author>
      <b:Author>
        <b:NameList>
          <b:Person>
            <b:Last>Bindemann</b:Last>
            <b:First>Kirsten</b:First>
          </b:Person>
        </b:NameList>
      </b:Author>
    </b:Author>
    <b:Publisher>Oxford Institute for Energy Studies</b:Publisher>
    <b:JournalName>Oxford Institute for Energy Studies</b:JournalName>
    <b:Institution>Oxford Institute for Energy Studies</b:Institution>
    <b:RefOrder>1</b:RefOrder>
  </b:Source>
  <b:Source>
    <b:SourceType>Book</b:SourceType>
    <b:Tag>Marcel2006</b:Tag>
    <b:Title>Oil Titans National Oil Companies in the Middle East</b:Title>
    <b:Year>2006</b:Year>
    <b:Author>
      <b:Author>
        <b:NameList>
          <b:Person>
            <b:Last>Marcel</b:Last>
            <b:First>Valerie</b:First>
          </b:Person>
        </b:NameList>
      </b:Author>
    </b:Author>
    <b:Publisher>Brookings Institution Press</b:Publisher>
    <b:RefOrder>2</b:RefOrder>
  </b:Source>
  <b:Source>
    <b:SourceType>JournalArticle</b:SourceType>
    <b:Tag>Shiravi2006</b:Tag>
    <b:Title>Exploration and development of Iran's oilfields through buyback</b:Title>
    <b:Year>2006</b:Year>
    <b:Author>
      <b:Author>
        <b:NameList>
          <b:Person>
            <b:Last>Shiravi</b:Last>
            <b:First>Abdolhossein</b:First>
          </b:Person>
          <b:Person>
            <b:Last>Ebrahimi</b:Last>
            <b:First>Seyed</b:First>
            <b:Middle>Nasrollah</b:Middle>
          </b:Person>
        </b:NameList>
      </b:Author>
    </b:Author>
    <b:Pages>199-206</b:Pages>
    <b:Volume>30</b:Volume>
    <b:JournalName>Natural Resources Forum</b:JournalName>
    <b:Guid>{064F225B-F654-4A8A-A8A8-0EED9467AA73}</b:Guid>
    <b:Issue>3</b:Issue>
    <b:RefOrder>3</b:RefOrder>
  </b:Source>
  <b:Source>
    <b:SourceType>JournalArticle</b:SourceType>
    <b:Tag>Groenendaal2006</b:Tag>
    <b:Title>A critical review of Iran's buyback contracts</b:Title>
    <b:Year>2006</b:Year>
    <b:Comments>ScienceDirect Citation: van Groenendaal 2006 A critical review of Iran's buyback contracts</b:Comments>
    <b:Author>
      <b:Author>
        <b:NameList>
          <b:Person>
            <b:Last>Van Groenendaal</b:Last>
            <b:First>Willem</b:First>
            <b:Middle>J.H.</b:Middle>
          </b:Person>
          <b:Person>
            <b:Last>Mazraati</b:Last>
            <b:First>Mohammad</b:First>
          </b:Person>
        </b:NameList>
      </b:Author>
    </b:Author>
    <b:Pages>3709-3718</b:Pages>
    <b:Volume>Volume 34, Issue 18</b:Volume>
    <b:JournalName>Energy Policy</b:JournalName>
    <b:Guid>{CF35D666-E9FD-4EAB-84A7-DD62E4AB4221}</b:Guid>
    <b:RefOrder>4</b:RefOrder>
  </b:Source>
  <b:Source>
    <b:Tag>Gha</b:Tag>
    <b:SourceType>ArticleInAPeriodical</b:SourceType>
    <b:Guid>{D2C6F5ED-7FCA-45F3-891C-4A2596F0AF05}</b:Guid>
    <b:Author>
      <b:Author>
        <b:NameList>
          <b:Person>
            <b:Last>Ghandi</b:Last>
            <b:First>Abbas</b:First>
          </b:Person>
          <b:Person>
            <b:Last>Lin</b:Last>
            <b:First>C.-Y.Cynthia</b:First>
          </b:Person>
        </b:NameList>
      </b:Author>
    </b:Author>
    <b:Title>Do Iran’s Buy-Back Service Contracts Lead to Optimal Production? The Case of Soroosh and Nowrooz.</b:Title>
    <b:PeriodicalTitle>Working Paper. University of California Davis</b:PeriodicalTitle>
    <b:Year>2011</b:Year>
    <b:RefOrder>5</b:RefOrder>
  </b:Source>
  <b:Source>
    <b:SourceType>Report</b:SourceType>
    <b:Tag>Sankey2010</b:Tag>
    <b:Title>The Mother of All Oil Stories</b:Title>
    <b:Year>2010</b:Year>
    <b:Author>
      <b:Author>
        <b:NameList>
          <b:Person>
            <b:Last>Sankey</b:Last>
            <b:First>Paul</b:First>
          </b:Person>
          <b:Person>
            <b:Last>Clark</b:Last>
            <b:Middle>T.</b:Middle>
            <b:First>David</b:First>
          </b:Person>
          <b:Person>
            <b:Last>Micheloto</b:Last>
            <b:First>Silvio</b:First>
          </b:Person>
        </b:NameList>
      </b:Author>
    </b:Author>
    <b:ConferenceName>Deutsche Bank</b:ConferenceName>
    <b:Institution>Deutsche Bank</b:Institution>
    <b:RefOrder>6</b:RefOrder>
  </b:Source>
  <b:Source>
    <b:Tag>Aga1</b:Tag>
    <b:SourceType>Book</b:SourceType>
    <b:Guid>{FA5AE4C5-35C3-4CBF-9F3B-3A959C051D85}</b:Guid>
    <b:Author>
      <b:Author>
        <b:NameList>
          <b:Person>
            <b:Last>Agancy</b:Last>
            <b:First>Internation</b:First>
            <b:Middle>Energy</b:Middle>
          </b:Person>
        </b:NameList>
      </b:Author>
    </b:Author>
    <b:Title>World Energy Outlook 2003</b:Title>
    <b:Publisher>Organisation for Economic Co-operation and Development OECD.</b:Publisher>
    <b:RefOrder>7</b:RefOrder>
  </b:Source>
  <b:Source>
    <b:Tag>Aga</b:Tag>
    <b:SourceType>Book</b:SourceType>
    <b:Guid>{68B533BB-9C09-43AF-B0D5-279B12DE509C}</b:Guid>
    <b:Author>
      <b:Author>
        <b:NameList>
          <b:Person>
            <b:Last>Agancy</b:Last>
            <b:First>International</b:First>
            <b:Middle>Energy</b:Middle>
          </b:Person>
        </b:NameList>
      </b:Author>
    </b:Author>
    <b:Title>World Energy Outlook 2010</b:Title>
    <b:Publisher>Organisation for Economic Co-operation and Development OECD.</b:Publisher>
    <b:RefOrder>8</b:RefOrder>
  </b:Source>
  <b:Source>
    <b:SourceType>JournalArticle</b:SourceType>
    <b:Tag>Gao2009</b:Tag>
    <b:Title>Optimal dynamic production from a large oil field in Saudi Arabia</b:Title>
    <b:Year>2009</b:Year>
    <b:Author>
      <b:Author>
        <b:NameList>
          <b:Person>
            <b:Last>Gao</b:Last>
            <b:First>Weiyu</b:First>
          </b:Person>
          <b:Person>
            <b:Last>Hartley</b:Last>
            <b:Middle>R.</b:Middle>
            <b:First>Peter</b:First>
          </b:Person>
          <b:Person>
            <b:Last>Sickles</b:Last>
            <b:Middle>C.</b:Middle>
            <b:First>Robin</b:First>
          </b:Person>
        </b:NameList>
      </b:Author>
    </b:Author>
    <b:Pages>153-184</b:Pages>
    <b:Volume>37</b:Volume>
    <b:Publisher>Physica Verlag, An Imprint of Springer-Verlag GmbH</b:Publisher>
    <b:JournalName>Empirical Economics</b:JournalName>
    <b:Issue>1</b:Issue>
    <b:BIBTEX_Abstract>We model the economically optimal dynamic oil production decisions for a stylized oilfield resembling the largest developed field in Saudi Arabia, Ghawar, paying particular attention to the engineering aspects of oil production. Specifically, we begin with a fluid dynamics model composed of differential equations describing the dynamics of fluid flow as a function of fluid pressure, formation characteristics, water injection, new wells, and how these parameters change as oil extraction occurs. We then link this physical description of the field to an intertemporal optimizing economic model. The cost and revenue functions are based on data from a number of sources. We use tensor splines to approximate the value function. The optimal solution depends on exogenous variables, such as the discount rate or the timing of breakthroughs in the cost of alternative energy sources, which are uncertain. We examine solutions under a number of scenarios to account for these uncertainties.</b:BIBTEX_Abstract>
    <b:BIBTEX_KeyWords>Optimal oil production - Dynamic programming - Value function approximation</b:BIBTEX_KeyWords>
    <b:RefOrder>7</b:RefOrder>
  </b:Source>
  <b:Source>
    <b:SourceType>JournalArticle</b:SourceType>
    <b:Tag>EIA1996</b:Tag>
    <b:Title>Oil production capacity expansion costs for the Persian Gulf</b:Title>
    <b:Year>1996</b:Year>
    <b:Comments>Retrieved Januray 29, 2011</b:Comments>
    <b:Author>
      <b:Author>
        <b:NameList>
          <b:Person>
            <b:Last>Administration</b:Last>
            <b:Middle>Information</b:Middle>
            <b:First>Energy</b:First>
          </b:Person>
        </b:NameList>
      </b:Author>
    </b:Author>
    <b:Institution>Energy Information Administration</b:Institution>
    <b:BIBTEX_HowPublished>http://www.eia.doe.gov/pub/oil_gas/natural_gas/analysis_publications/oil_production_expansion_cost_persian_gulf/pdf/tr0606.pdf</b:BIBTEX_HowPublished>
    <b:RefOrder>6</b:RefOrder>
  </b:Source>
  <b:Source>
    <b:Tag>MiddleEastEconomicSurvey</b:Tag>
    <b:SourceType>ArticleInAPeriodical</b:SourceType>
    <b:Guid>{9105DA12-04C0-4E73-816E-4E413B27BEA6}</b:Guid>
    <b:Author>
      <b:Author>
        <b:Corporate>Middle East Economic Survey</b:Corporate>
      </b:Author>
    </b:Author>
    <b:Title>Zanganeh Inaugurates Soroush/Nowruz Fields</b:Title>
    <b:Year>2005b</b:Year>
    <b:PeriodicalTitle>A Weekly Review of Energy, Finanance and Politics</b:PeriodicalTitle>
    <b:Month>August</b:Month>
    <b:Day>1</b:Day>
    <b:RefOrder>8</b:RefOrder>
  </b:Source>
  <b:Source>
    <b:Tag>Japex06</b:Tag>
    <b:SourceType>InternetSite</b:SourceType>
    <b:Guid>{67505471-76A0-434D-9D88-971CACB6090E}</b:Guid>
    <b:Title>JAPEX Annual Report 2006</b:Title>
    <b:InternetSiteTitle>Japan Petroleum Exploration Co., Ltd. (JAPEX)</b:InternetSiteTitle>
    <b:Year>2006</b:Year>
    <b:YearAccessed>2011</b:YearAccessed>
    <b:MonthAccessed>March</b:MonthAccessed>
    <b:URL>http://www.japex.co.jp/pdf/ir/library/anual_report/2006e.pdf</b:URL>
    <b:RefOrder>7</b:RefOrder>
  </b:Source>
  <b:Source>
    <b:Tag>OIEC02</b:Tag>
    <b:SourceType>InternetSite</b:SourceType>
    <b:Guid>{CB2C1D32-C6D1-4C91-8A80-1462395C4492}</b:Guid>
    <b:Title>Soroosh and Nowrooz</b:Title>
    <b:InternetSiteTitle>Oil Industries’ Engineering and Construction (OIEC)</b:InternetSiteTitle>
    <b:Year>2002</b:Year>
    <b:YearAccessed>2011</b:YearAccessed>
    <b:MonthAccessed>March</b:MonthAccessed>
    <b:URL>http://www.oiecgroup.com/pr/projects/sor_nor.aspx</b:URL>
    <b:RefOrder>8</b:RefOrder>
  </b:Source>
</b:Sources>
</file>

<file path=customXml/itemProps1.xml><?xml version="1.0" encoding="utf-8"?>
<ds:datastoreItem xmlns:ds="http://schemas.openxmlformats.org/officeDocument/2006/customXml" ds:itemID="{4921F221-5845-4EAA-B776-395716CF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Agricultural and Resource Economics</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5</cp:revision>
  <cp:lastPrinted>2007-05-18T04:32:00Z</cp:lastPrinted>
  <dcterms:created xsi:type="dcterms:W3CDTF">2011-08-11T22:20:00Z</dcterms:created>
  <dcterms:modified xsi:type="dcterms:W3CDTF">2011-08-11T22:45:00Z</dcterms:modified>
</cp:coreProperties>
</file>